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72" w:rsidRPr="00C258CA" w:rsidRDefault="00565D72" w:rsidP="00C258CA">
      <w:pPr>
        <w:pStyle w:val="1"/>
        <w:rPr>
          <w:szCs w:val="28"/>
        </w:rPr>
      </w:pPr>
      <w:r w:rsidRPr="00C258CA">
        <w:rPr>
          <w:szCs w:val="28"/>
        </w:rPr>
        <w:t>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</w:t>
      </w:r>
    </w:p>
    <w:p w:rsidR="00565D72" w:rsidRPr="00C258CA" w:rsidRDefault="00565D72" w:rsidP="00C258CA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Месторождение Карашошак, которое входит в состав Жиландинской группы месторождений, находится на землях г. Сатпаев области </w:t>
      </w:r>
      <w:hyperlink r:id="rId7" w:history="1">
        <w:r w:rsidRPr="00C258CA">
          <w:rPr>
            <w:rStyle w:val="ae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Ұлытау</w:t>
        </w:r>
      </w:hyperlink>
      <w:r w:rsidRPr="00C258CA">
        <w:rPr>
          <w:rStyle w:val="a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C258CA">
        <w:rPr>
          <w:rFonts w:ascii="Times New Roman" w:hAnsi="Times New Roman"/>
          <w:sz w:val="28"/>
          <w:szCs w:val="28"/>
        </w:rPr>
        <w:t xml:space="preserve"> Ближайшими населенными пунктами являются: пос. Сатпаев (Северный), расположенный на расстоянии около 5 км на юго-запад от месторождения Карашошак. Ближайшим городом является г. Сатпаев, расположенный южнее месторождения Карашошак, с расстоянием до него около 29 км.</w:t>
      </w:r>
    </w:p>
    <w:p w:rsidR="00EE4C23" w:rsidRPr="00C258CA" w:rsidRDefault="00EE4C23" w:rsidP="00C258CA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b/>
          <w:sz w:val="28"/>
          <w:szCs w:val="28"/>
        </w:rPr>
        <w:t xml:space="preserve">Вид основной деятельности: </w:t>
      </w:r>
      <w:r w:rsidRPr="00C258CA">
        <w:rPr>
          <w:rFonts w:ascii="Times New Roman" w:hAnsi="Times New Roman"/>
          <w:sz w:val="28"/>
          <w:szCs w:val="28"/>
        </w:rPr>
        <w:t>Проведение добычи медных руд подземным способом.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Для обеспечения административно-хозяйственной связи промплощадок шахты с предприятиями корпорации в г. Жезказган и г. Сатпаев рядом с месторождением проходит существующая асфальтобетонная дорога г. Сатпаев – пос. Малшибай, имеются существующие автодороги, к ранее отработанным карьерам «Карашошак 1, 2, 3», «Карашошак-Северный» и к их отвалам.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Данным проектом предусматривается отработка запасов месторождения Карашошак подземным способом.</w:t>
      </w:r>
    </w:p>
    <w:p w:rsidR="00C258CA" w:rsidRPr="00C258CA" w:rsidRDefault="00C258CA" w:rsidP="00C258CA">
      <w:pPr>
        <w:tabs>
          <w:tab w:val="left" w:pos="406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Данным проектом приняты следующие основные параметры карьера:</w:t>
      </w:r>
    </w:p>
    <w:p w:rsidR="00C258CA" w:rsidRPr="00C258CA" w:rsidRDefault="00C258CA" w:rsidP="00C258CA">
      <w:pPr>
        <w:pStyle w:val="af"/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- длина карьера по поверхности – 630 м;</w:t>
      </w:r>
    </w:p>
    <w:p w:rsidR="00C258CA" w:rsidRPr="00C258CA" w:rsidRDefault="00C258CA" w:rsidP="00C258CA">
      <w:pPr>
        <w:pStyle w:val="af"/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- ширина карьера по поверхности – 415 м;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- площадь карьера на поверхности – 229,3 тыс. м</w:t>
      </w:r>
      <w:r w:rsidRPr="00C258CA">
        <w:rPr>
          <w:rFonts w:ascii="Times New Roman" w:hAnsi="Times New Roman"/>
          <w:sz w:val="28"/>
          <w:szCs w:val="28"/>
          <w:vertAlign w:val="superscript"/>
        </w:rPr>
        <w:t>2</w:t>
      </w:r>
      <w:r w:rsidRPr="00C258CA">
        <w:rPr>
          <w:rFonts w:ascii="Times New Roman" w:hAnsi="Times New Roman"/>
          <w:sz w:val="28"/>
          <w:szCs w:val="28"/>
        </w:rPr>
        <w:t>;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- глубина карьера – 130 м.</w:t>
      </w:r>
    </w:p>
    <w:p w:rsidR="00C258CA" w:rsidRPr="00C258CA" w:rsidRDefault="00C258CA" w:rsidP="00C258CA">
      <w:pPr>
        <w:tabs>
          <w:tab w:val="left" w:pos="406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При отработке карьера предусматривается применение высоко-производительного бурового и погрузочно-транспортного оборудования, имеющегося на Северо-Жезказганском руднике.</w:t>
      </w:r>
    </w:p>
    <w:p w:rsidR="00C258CA" w:rsidRPr="00C258CA" w:rsidRDefault="00C258CA" w:rsidP="00C258CA">
      <w:pPr>
        <w:tabs>
          <w:tab w:val="left" w:pos="406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Для бурения технологических скважин и скважин предварительного щелеобразования используются станки марки </w:t>
      </w:r>
      <w:r w:rsidRPr="00C258CA">
        <w:rPr>
          <w:rFonts w:ascii="Times New Roman" w:hAnsi="Times New Roman"/>
          <w:sz w:val="28"/>
          <w:szCs w:val="28"/>
          <w:lang w:val="en-US"/>
        </w:rPr>
        <w:t>DML</w:t>
      </w:r>
      <w:r w:rsidRPr="00C258CA">
        <w:rPr>
          <w:rFonts w:ascii="Times New Roman" w:hAnsi="Times New Roman"/>
          <w:sz w:val="28"/>
          <w:szCs w:val="28"/>
        </w:rPr>
        <w:t>.</w:t>
      </w:r>
    </w:p>
    <w:p w:rsidR="00C258CA" w:rsidRPr="00C258CA" w:rsidRDefault="00C258CA" w:rsidP="00C258CA">
      <w:pPr>
        <w:tabs>
          <w:tab w:val="left" w:pos="406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Для погрузки горной массы в карьере используются экскаваторы марки ЭКГ-5, ЭКГ-8И, </w:t>
      </w:r>
      <w:r w:rsidRPr="00C258CA">
        <w:rPr>
          <w:rFonts w:ascii="Times New Roman" w:hAnsi="Times New Roman"/>
          <w:sz w:val="28"/>
          <w:szCs w:val="28"/>
          <w:lang w:val="en-US"/>
        </w:rPr>
        <w:t>Cat</w:t>
      </w:r>
      <w:r w:rsidRPr="00C258CA">
        <w:rPr>
          <w:rFonts w:ascii="Times New Roman" w:hAnsi="Times New Roman"/>
          <w:sz w:val="28"/>
          <w:szCs w:val="28"/>
        </w:rPr>
        <w:t xml:space="preserve"> 980</w:t>
      </w:r>
      <w:r w:rsidRPr="00C258CA">
        <w:rPr>
          <w:rFonts w:ascii="Times New Roman" w:hAnsi="Times New Roman"/>
          <w:sz w:val="28"/>
          <w:szCs w:val="28"/>
          <w:lang w:val="en-US"/>
        </w:rPr>
        <w:t>H</w:t>
      </w:r>
      <w:r w:rsidRPr="00C258CA">
        <w:rPr>
          <w:rFonts w:ascii="Times New Roman" w:hAnsi="Times New Roman"/>
          <w:sz w:val="28"/>
          <w:szCs w:val="28"/>
        </w:rPr>
        <w:t xml:space="preserve">, </w:t>
      </w:r>
      <w:r w:rsidRPr="00C258CA">
        <w:rPr>
          <w:rFonts w:ascii="Times New Roman" w:hAnsi="Times New Roman"/>
          <w:sz w:val="28"/>
          <w:szCs w:val="28"/>
          <w:lang w:val="en-US"/>
        </w:rPr>
        <w:t>Cat</w:t>
      </w:r>
      <w:r w:rsidRPr="00C258CA">
        <w:rPr>
          <w:rFonts w:ascii="Times New Roman" w:hAnsi="Times New Roman"/>
          <w:sz w:val="28"/>
          <w:szCs w:val="28"/>
        </w:rPr>
        <w:t xml:space="preserve"> 988</w:t>
      </w:r>
      <w:r w:rsidRPr="00C258CA">
        <w:rPr>
          <w:rFonts w:ascii="Times New Roman" w:hAnsi="Times New Roman"/>
          <w:sz w:val="28"/>
          <w:szCs w:val="28"/>
          <w:lang w:val="en-US"/>
        </w:rPr>
        <w:t>H</w:t>
      </w:r>
      <w:r w:rsidRPr="00C258CA">
        <w:rPr>
          <w:rFonts w:ascii="Times New Roman" w:hAnsi="Times New Roman"/>
          <w:sz w:val="28"/>
          <w:szCs w:val="28"/>
        </w:rPr>
        <w:t>.</w:t>
      </w:r>
    </w:p>
    <w:p w:rsidR="00C258CA" w:rsidRPr="00C258CA" w:rsidRDefault="00C258CA" w:rsidP="00C258CA">
      <w:pPr>
        <w:tabs>
          <w:tab w:val="left" w:pos="406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pacing w:val="-2"/>
          <w:sz w:val="28"/>
          <w:szCs w:val="28"/>
        </w:rPr>
        <w:t>Транспортирование вскрышных пород до отвалов вскрышных пород и руды на рудную перегрузку производится карьерными автосамосвалами марки</w:t>
      </w:r>
      <w:r w:rsidRPr="00C258CA">
        <w:rPr>
          <w:rFonts w:ascii="Times New Roman" w:hAnsi="Times New Roman"/>
          <w:sz w:val="28"/>
          <w:szCs w:val="28"/>
        </w:rPr>
        <w:t xml:space="preserve"> Cat-777D  грузоподъемностью 91 т.</w:t>
      </w:r>
    </w:p>
    <w:p w:rsidR="00EE4C23" w:rsidRPr="00C258CA" w:rsidRDefault="00EE4C23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5D72" w:rsidRPr="00C258CA" w:rsidRDefault="00565D72" w:rsidP="00C258CA">
      <w:pPr>
        <w:spacing w:after="0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C258CA">
        <w:rPr>
          <w:rFonts w:ascii="Times New Roman" w:hAnsi="Times New Roman"/>
          <w:b/>
          <w:i/>
          <w:sz w:val="28"/>
          <w:szCs w:val="28"/>
          <w:u w:val="single"/>
        </w:rPr>
        <w:t>Атмосферный воздух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Основными источниками выбросов загрязняющих веществ при отработке месторождения Карашошак являются: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Ствол вентиляционный восстающий 1 (0006);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Породный отвал № 4, существующий (6003);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Существующие породные отвалы (6004, 6005, 6006,6007, 6008);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Карьер (6025);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lastRenderedPageBreak/>
        <w:t>Шахта (6026);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Портал 1, 2, 3, 4 (6027, 6028, 6029, 6030);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Внутрикарьерные перегрузочные площадки руды (6049, 6031, 6050, 6032);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Внутрикарьерные породные отвалы (6047, 6033, 6048, 6034);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Внешние породные отвалы на порталах (6035, 6036, 6037, 6038);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Отвал окисленных руд (6039);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Рудный склад-Перегрузочная площадка в ж/д транспорт (Северный Карашошак) (6044);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Рудный склад- Перегрузочная площадка в ж.д. транспорт (юго-восточнее транспортного съезда и восточнее карьера 1, южнее портала 2) (6045);</w:t>
      </w:r>
    </w:p>
    <w:p w:rsidR="00C258CA" w:rsidRPr="00C258CA" w:rsidRDefault="00C258CA" w:rsidP="00C258CA">
      <w:pPr>
        <w:numPr>
          <w:ilvl w:val="0"/>
          <w:numId w:val="7"/>
        </w:numPr>
        <w:kinsoku/>
        <w:overflowPunct/>
        <w:autoSpaceDE/>
        <w:autoSpaceDN/>
        <w:adjustRightInd/>
        <w:snapToGrid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АЗС (6046);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На данный момент месторождение Карашошак Жиландинской группы месторождений имеет Экологическое разрешение на воздействие для объектов </w:t>
      </w:r>
      <w:r w:rsidRPr="00C258CA">
        <w:rPr>
          <w:rFonts w:ascii="Times New Roman" w:hAnsi="Times New Roman"/>
          <w:sz w:val="28"/>
          <w:szCs w:val="28"/>
          <w:lang w:val="en-US"/>
        </w:rPr>
        <w:t>I</w:t>
      </w:r>
      <w:r w:rsidRPr="00C258CA">
        <w:rPr>
          <w:rFonts w:ascii="Times New Roman" w:hAnsi="Times New Roman"/>
          <w:sz w:val="28"/>
          <w:szCs w:val="28"/>
        </w:rPr>
        <w:t xml:space="preserve"> категории на проект </w:t>
      </w:r>
      <w:r w:rsidRPr="00C258CA">
        <w:rPr>
          <w:rFonts w:ascii="Times New Roman" w:hAnsi="Times New Roman"/>
          <w:bCs/>
          <w:sz w:val="28"/>
          <w:szCs w:val="28"/>
        </w:rPr>
        <w:t xml:space="preserve">нормативов допустимых выбросов загрязняющих веществ в атмосферу (НДВ) </w:t>
      </w:r>
      <w:r w:rsidRPr="00C258CA">
        <w:rPr>
          <w:rFonts w:ascii="Times New Roman" w:hAnsi="Times New Roman"/>
          <w:sz w:val="28"/>
          <w:szCs w:val="28"/>
        </w:rPr>
        <w:t>месторождения Карашошак Жиландинской группы месторождений филиала ТОО «Корпорация Казахмыс» - ПО «Жезказганцветмет» на период 2025-2026 гг. от 21.11.2024 года № KZ14VCZ03786825 (приложение 6).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Нумерация источников загрязнения атмосферы сохранена и остается такой же, как в и проекте НДВ на 2025-2026 гг.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C258CA">
        <w:rPr>
          <w:rFonts w:ascii="Times New Roman" w:hAnsi="Times New Roman"/>
          <w:sz w:val="28"/>
          <w:szCs w:val="28"/>
        </w:rPr>
        <w:t>от 21.11.2024 года № KZ14VCZ03786825</w:t>
      </w:r>
      <w:r w:rsidRPr="00C258CA">
        <w:rPr>
          <w:rFonts w:ascii="Times New Roman" w:hAnsi="Times New Roman"/>
          <w:bCs/>
          <w:iCs/>
          <w:sz w:val="28"/>
          <w:szCs w:val="28"/>
        </w:rPr>
        <w:t>).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В настоящем проекте в выбросах от источников месторождения Карашошак </w:t>
      </w:r>
      <w:r w:rsidRPr="00C258CA">
        <w:rPr>
          <w:rFonts w:ascii="Times New Roman" w:hAnsi="Times New Roman"/>
          <w:sz w:val="28"/>
          <w:szCs w:val="28"/>
          <w:u w:val="single"/>
        </w:rPr>
        <w:t>на 2026-2030 гг.</w:t>
      </w:r>
      <w:r w:rsidRPr="00C258CA">
        <w:rPr>
          <w:rFonts w:ascii="Times New Roman" w:hAnsi="Times New Roman"/>
          <w:sz w:val="28"/>
          <w:szCs w:val="28"/>
        </w:rPr>
        <w:t xml:space="preserve"> нормируются 21 загрязняющих веществ (с </w:t>
      </w:r>
      <w:r w:rsidRPr="00C258CA">
        <w:rPr>
          <w:rFonts w:ascii="Times New Roman" w:hAnsi="Times New Roman"/>
          <w:bCs/>
          <w:sz w:val="28"/>
          <w:szCs w:val="28"/>
        </w:rPr>
        <w:t>учетом автотранспорта</w:t>
      </w:r>
      <w:r w:rsidRPr="00C258CA">
        <w:rPr>
          <w:rFonts w:ascii="Times New Roman" w:hAnsi="Times New Roman"/>
          <w:sz w:val="28"/>
          <w:szCs w:val="28"/>
        </w:rPr>
        <w:t xml:space="preserve">): железо (II, III) оксиды (0123), марганец и его соединения (0143), азота (IV) диоксид (0301), азота (II) оксид (0304), углерод (0328), серы диоксид (0330), сероводород (0333), углерода оксид (0337), фтористые газообразные соединения (0342), </w:t>
      </w:r>
      <w:r w:rsidRPr="00C258CA">
        <w:rPr>
          <w:rFonts w:ascii="Times New Roman" w:eastAsiaTheme="minorEastAsia" w:hAnsi="Times New Roman"/>
          <w:sz w:val="28"/>
          <w:szCs w:val="28"/>
        </w:rPr>
        <w:t>диметилбензол</w:t>
      </w:r>
      <w:r w:rsidRPr="00C258CA">
        <w:rPr>
          <w:rFonts w:ascii="Times New Roman" w:hAnsi="Times New Roman"/>
          <w:sz w:val="28"/>
          <w:szCs w:val="28"/>
        </w:rPr>
        <w:t xml:space="preserve"> (0616), </w:t>
      </w:r>
      <w:r w:rsidRPr="00C258CA">
        <w:rPr>
          <w:rFonts w:ascii="Times New Roman" w:eastAsiaTheme="minorEastAsia" w:hAnsi="Times New Roman"/>
          <w:sz w:val="28"/>
          <w:szCs w:val="28"/>
        </w:rPr>
        <w:t>метилбензол</w:t>
      </w:r>
      <w:r w:rsidRPr="00C258CA">
        <w:rPr>
          <w:rFonts w:ascii="Times New Roman" w:hAnsi="Times New Roman"/>
          <w:sz w:val="28"/>
          <w:szCs w:val="28"/>
        </w:rPr>
        <w:t xml:space="preserve"> (0621), </w:t>
      </w:r>
      <w:r w:rsidRPr="00C258CA">
        <w:rPr>
          <w:rFonts w:ascii="Times New Roman" w:eastAsiaTheme="minorEastAsia" w:hAnsi="Times New Roman"/>
          <w:sz w:val="28"/>
          <w:szCs w:val="28"/>
        </w:rPr>
        <w:t>бенз/а/пирен</w:t>
      </w:r>
      <w:r w:rsidRPr="00C258CA">
        <w:rPr>
          <w:rFonts w:ascii="Times New Roman" w:hAnsi="Times New Roman"/>
          <w:sz w:val="28"/>
          <w:szCs w:val="28"/>
        </w:rPr>
        <w:t xml:space="preserve"> (0703), </w:t>
      </w:r>
      <w:r w:rsidRPr="00C258CA">
        <w:rPr>
          <w:rFonts w:ascii="Times New Roman" w:eastAsiaTheme="minorEastAsia" w:hAnsi="Times New Roman"/>
          <w:sz w:val="28"/>
          <w:szCs w:val="28"/>
        </w:rPr>
        <w:t>бутан-1-ол</w:t>
      </w:r>
      <w:r w:rsidRPr="00C258CA">
        <w:rPr>
          <w:rFonts w:ascii="Times New Roman" w:hAnsi="Times New Roman"/>
          <w:sz w:val="28"/>
          <w:szCs w:val="28"/>
        </w:rPr>
        <w:t xml:space="preserve"> (1042), </w:t>
      </w:r>
      <w:r w:rsidRPr="00C258CA">
        <w:rPr>
          <w:rFonts w:ascii="Times New Roman" w:eastAsiaTheme="minorEastAsia" w:hAnsi="Times New Roman"/>
          <w:sz w:val="28"/>
          <w:szCs w:val="28"/>
        </w:rPr>
        <w:t>этанол</w:t>
      </w:r>
      <w:r w:rsidRPr="00C258CA">
        <w:rPr>
          <w:rFonts w:ascii="Times New Roman" w:hAnsi="Times New Roman"/>
          <w:sz w:val="28"/>
          <w:szCs w:val="28"/>
        </w:rPr>
        <w:t xml:space="preserve"> (1061), </w:t>
      </w:r>
      <w:r w:rsidRPr="00C258CA">
        <w:rPr>
          <w:rFonts w:ascii="Times New Roman" w:eastAsiaTheme="minorEastAsia" w:hAnsi="Times New Roman"/>
          <w:sz w:val="28"/>
          <w:szCs w:val="28"/>
        </w:rPr>
        <w:t>2-Этоксиэтанол</w:t>
      </w:r>
      <w:r w:rsidRPr="00C258CA">
        <w:rPr>
          <w:rFonts w:ascii="Times New Roman" w:hAnsi="Times New Roman"/>
          <w:sz w:val="28"/>
          <w:szCs w:val="28"/>
        </w:rPr>
        <w:t xml:space="preserve"> (1119), </w:t>
      </w:r>
      <w:r w:rsidRPr="00C258CA">
        <w:rPr>
          <w:rFonts w:ascii="Times New Roman" w:eastAsiaTheme="minorEastAsia" w:hAnsi="Times New Roman"/>
          <w:sz w:val="28"/>
          <w:szCs w:val="28"/>
        </w:rPr>
        <w:t xml:space="preserve">бутилацетат (1210), пропан-2-он (1401), </w:t>
      </w:r>
      <w:r w:rsidRPr="00C258CA">
        <w:rPr>
          <w:rFonts w:ascii="Times New Roman" w:hAnsi="Times New Roman"/>
          <w:sz w:val="28"/>
          <w:szCs w:val="28"/>
        </w:rPr>
        <w:t xml:space="preserve">керосин (2732), </w:t>
      </w:r>
      <w:r w:rsidRPr="00C258CA">
        <w:rPr>
          <w:rFonts w:ascii="Times New Roman" w:eastAsiaTheme="minorEastAsia" w:hAnsi="Times New Roman"/>
          <w:sz w:val="28"/>
          <w:szCs w:val="28"/>
        </w:rPr>
        <w:t>уайт-спирит</w:t>
      </w:r>
      <w:r w:rsidRPr="00C258CA">
        <w:rPr>
          <w:rFonts w:ascii="Times New Roman" w:hAnsi="Times New Roman"/>
          <w:sz w:val="28"/>
          <w:szCs w:val="28"/>
        </w:rPr>
        <w:t xml:space="preserve"> (2752), углеводороды предельные С12-19 (2754), пыль неорганическая: 70-20% двуокиси кремния (2908).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Общий валовый выброс загрязняющих веществ (с учетом выбросов от передвижных источников), учтенный настоящим проектом НДВ месторождения Карашошак, составляет: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2026 год – </w:t>
      </w:r>
      <w:r w:rsidRPr="00C258CA">
        <w:rPr>
          <w:rFonts w:ascii="Times New Roman" w:hAnsi="Times New Roman"/>
          <w:b/>
          <w:sz w:val="28"/>
          <w:szCs w:val="28"/>
        </w:rPr>
        <w:t>27.5248973882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370.8232508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т/год,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2027 год – </w:t>
      </w:r>
      <w:r w:rsidRPr="00C258CA">
        <w:rPr>
          <w:rFonts w:ascii="Times New Roman" w:hAnsi="Times New Roman"/>
          <w:b/>
          <w:sz w:val="28"/>
          <w:szCs w:val="28"/>
        </w:rPr>
        <w:t>27.5248973882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370.5514508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2028 год – </w:t>
      </w:r>
      <w:r w:rsidRPr="00C258CA">
        <w:rPr>
          <w:rFonts w:ascii="Times New Roman" w:hAnsi="Times New Roman"/>
          <w:b/>
          <w:sz w:val="28"/>
          <w:szCs w:val="28"/>
        </w:rPr>
        <w:t>27.5248973882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368.8129608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2029 год – </w:t>
      </w:r>
      <w:r w:rsidRPr="00C258CA">
        <w:rPr>
          <w:rFonts w:ascii="Times New Roman" w:hAnsi="Times New Roman"/>
          <w:b/>
          <w:sz w:val="28"/>
          <w:szCs w:val="28"/>
        </w:rPr>
        <w:t>27.5248973882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361.8386508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2030 год – </w:t>
      </w:r>
      <w:r w:rsidRPr="00C258CA">
        <w:rPr>
          <w:rFonts w:ascii="Times New Roman" w:hAnsi="Times New Roman"/>
          <w:b/>
          <w:sz w:val="28"/>
          <w:szCs w:val="28"/>
        </w:rPr>
        <w:t>25.2552573882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360.4042508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Общий валовый выброс загрязняющих веществ (без учета выбросов от передвижных источников), учтенный настоящим проектом НДВ месторождения Карашошак составляет: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lastRenderedPageBreak/>
        <w:t xml:space="preserve">на 2026 год – </w:t>
      </w:r>
      <w:r w:rsidRPr="00C258CA">
        <w:rPr>
          <w:rFonts w:ascii="Times New Roman" w:hAnsi="Times New Roman"/>
          <w:b/>
          <w:sz w:val="28"/>
          <w:szCs w:val="28"/>
        </w:rPr>
        <w:t>26.7930162322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370.8232508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т/год,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2027 год – </w:t>
      </w:r>
      <w:r w:rsidRPr="00C258CA">
        <w:rPr>
          <w:rFonts w:ascii="Times New Roman" w:hAnsi="Times New Roman"/>
          <w:b/>
          <w:sz w:val="28"/>
          <w:szCs w:val="28"/>
        </w:rPr>
        <w:t>26.7930162322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370.5514508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2028 год – </w:t>
      </w:r>
      <w:r w:rsidRPr="00C258CA">
        <w:rPr>
          <w:rFonts w:ascii="Times New Roman" w:hAnsi="Times New Roman"/>
          <w:b/>
          <w:sz w:val="28"/>
          <w:szCs w:val="28"/>
        </w:rPr>
        <w:t>26.7930162322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368.8129608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2029 год – </w:t>
      </w:r>
      <w:r w:rsidRPr="00C258CA">
        <w:rPr>
          <w:rFonts w:ascii="Times New Roman" w:hAnsi="Times New Roman"/>
          <w:b/>
          <w:sz w:val="28"/>
          <w:szCs w:val="28"/>
        </w:rPr>
        <w:t>26.7930162322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361.8386508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258CA">
        <w:rPr>
          <w:rFonts w:ascii="Times New Roman" w:hAnsi="Times New Roman"/>
          <w:bCs/>
          <w:iCs/>
          <w:sz w:val="28"/>
          <w:szCs w:val="28"/>
        </w:rPr>
        <w:t xml:space="preserve">на 2030 год – </w:t>
      </w:r>
      <w:r w:rsidRPr="00C258CA">
        <w:rPr>
          <w:rFonts w:ascii="Times New Roman" w:hAnsi="Times New Roman"/>
          <w:b/>
          <w:sz w:val="28"/>
          <w:szCs w:val="28"/>
        </w:rPr>
        <w:t>24.5233762322</w:t>
      </w:r>
      <w:r w:rsidRPr="00C258CA">
        <w:rPr>
          <w:rFonts w:ascii="Times New Roman" w:hAnsi="Times New Roman"/>
          <w:sz w:val="28"/>
          <w:szCs w:val="28"/>
        </w:rPr>
        <w:t xml:space="preserve"> г/сек и </w:t>
      </w:r>
      <w:r w:rsidRPr="00C258CA">
        <w:rPr>
          <w:rFonts w:ascii="Times New Roman" w:hAnsi="Times New Roman"/>
          <w:b/>
          <w:sz w:val="28"/>
          <w:szCs w:val="28"/>
        </w:rPr>
        <w:t>360.4042508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С</w:t>
      </w:r>
      <w:r w:rsidRPr="00C258CA">
        <w:rPr>
          <w:rFonts w:ascii="Times New Roman" w:hAnsi="Times New Roman"/>
          <w:sz w:val="28"/>
          <w:szCs w:val="28"/>
        </w:rPr>
        <w:t xml:space="preserve">анитарно-защитная зона месторождения Карашошак Жиландинской группы месторождений принимается по наибольшему значению, т.е. </w:t>
      </w:r>
      <w:r w:rsidRPr="00C258CA">
        <w:rPr>
          <w:rStyle w:val="s0"/>
          <w:sz w:val="28"/>
          <w:szCs w:val="28"/>
        </w:rPr>
        <w:t>не менее 1000 м</w:t>
      </w:r>
      <w:r w:rsidRPr="00C258CA">
        <w:rPr>
          <w:rFonts w:ascii="Times New Roman" w:hAnsi="Times New Roman"/>
          <w:sz w:val="28"/>
          <w:szCs w:val="28"/>
        </w:rPr>
        <w:t>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Проведенные расчеты рассеивания загрязняющих веществ, подтверждают соблюдение норм ПДК по выбрасываемым веществам на границе установленной СЗЗ. </w:t>
      </w:r>
    </w:p>
    <w:p w:rsidR="00070B7B" w:rsidRPr="00C258CA" w:rsidRDefault="00C258CA" w:rsidP="00C258CA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C258CA">
        <w:rPr>
          <w:rFonts w:ascii="Times New Roman" w:hAnsi="Times New Roman"/>
          <w:iCs/>
          <w:sz w:val="28"/>
          <w:szCs w:val="28"/>
        </w:rPr>
        <w:t>На основании решения по определению категории объекта, оказывающего негативное воздействие на окружающую среду от 06.09.2021 года деятельность месторождения Карашошак относится к объектам I категории</w:t>
      </w:r>
      <w:r w:rsidRPr="00C258CA">
        <w:rPr>
          <w:rFonts w:ascii="Times New Roman" w:hAnsi="Times New Roman"/>
          <w:iCs/>
          <w:sz w:val="28"/>
          <w:szCs w:val="28"/>
        </w:rPr>
        <w:t>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4D44D0" w:rsidRPr="00C258CA" w:rsidRDefault="004D44D0" w:rsidP="00C258CA">
      <w:pPr>
        <w:spacing w:after="0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C258CA">
        <w:rPr>
          <w:rFonts w:ascii="Times New Roman" w:hAnsi="Times New Roman"/>
          <w:b/>
          <w:i/>
          <w:sz w:val="28"/>
          <w:szCs w:val="28"/>
          <w:u w:val="single"/>
        </w:rPr>
        <w:t xml:space="preserve">Отходы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 период эксплуатации прогнозируется образование 25-ти видов отходов: аккумуляторы отработанные автомобильные, отработанное моторное масло, о</w:t>
      </w:r>
      <w:r w:rsidRPr="00C258CA">
        <w:rPr>
          <w:rFonts w:ascii="Times New Roman" w:hAnsi="Times New Roman"/>
          <w:bCs/>
          <w:iCs/>
          <w:sz w:val="28"/>
          <w:szCs w:val="28"/>
        </w:rPr>
        <w:t>тработанное трансмиссионное масло, отработанное гидравлическое масло, о</w:t>
      </w:r>
      <w:r w:rsidRPr="00C258CA">
        <w:rPr>
          <w:rFonts w:ascii="Times New Roman" w:hAnsi="Times New Roman"/>
          <w:sz w:val="28"/>
          <w:szCs w:val="28"/>
        </w:rPr>
        <w:t>тработанные теплоносители (антифриз и др.), фильтры масляные отработанные, фильтры топливные отработанные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C258CA">
        <w:rPr>
          <w:rFonts w:ascii="Times New Roman" w:hAnsi="Times New Roman"/>
          <w:sz w:val="28"/>
          <w:szCs w:val="28"/>
        </w:rPr>
        <w:t xml:space="preserve">ветошь промасленная, </w:t>
      </w:r>
      <w:r w:rsidRPr="00C258CA">
        <w:rPr>
          <w:rFonts w:ascii="Times New Roman" w:hAnsi="Times New Roman"/>
          <w:bCs/>
          <w:iCs/>
          <w:sz w:val="28"/>
          <w:szCs w:val="28"/>
        </w:rPr>
        <w:t>светильники шахтные головные отработанные, с</w:t>
      </w:r>
      <w:r w:rsidRPr="00C258CA">
        <w:rPr>
          <w:rFonts w:ascii="Times New Roman" w:hAnsi="Times New Roman"/>
          <w:sz w:val="28"/>
          <w:szCs w:val="28"/>
        </w:rPr>
        <w:t xml:space="preserve">амоспасатели шахтные отработанные, 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мешкотара полипропиленовая, </w:t>
      </w:r>
      <w:r w:rsidRPr="00C258CA">
        <w:rPr>
          <w:rFonts w:ascii="Times New Roman" w:hAnsi="Times New Roman"/>
          <w:sz w:val="28"/>
          <w:szCs w:val="28"/>
        </w:rPr>
        <w:t xml:space="preserve">тара металлическая из-под ГСМ, 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тара из-под лакокрасочных материалов,  </w:t>
      </w:r>
      <w:r w:rsidRPr="00C258CA">
        <w:rPr>
          <w:rFonts w:ascii="Times New Roman" w:hAnsi="Times New Roman"/>
          <w:sz w:val="28"/>
          <w:szCs w:val="28"/>
        </w:rPr>
        <w:t>нефтешлам при зачистке резервуаров,  шины автомобильные отработанные, фильтры воздушные отработанные, огарки сварочных электродов, лом черных металлов, лом цветных металлов, отработанные тормозные колодки, лампы энергосберегающие, не содержащие ртуть, использованная спецодежда и обувь, отходы средств индивидуальной защиты (СИЗ), твердые бытовые отходы, в</w:t>
      </w:r>
      <w:r w:rsidRPr="00C258CA">
        <w:rPr>
          <w:rFonts w:ascii="Times New Roman" w:hAnsi="Times New Roman"/>
          <w:bCs/>
          <w:iCs/>
          <w:sz w:val="28"/>
          <w:szCs w:val="28"/>
        </w:rPr>
        <w:t>мещающая порода.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- опасные отходы – 14 видов (аккумуляторы отработанные автомобильные, отработанное моторное масло, о</w:t>
      </w:r>
      <w:r w:rsidRPr="00C258CA">
        <w:rPr>
          <w:rFonts w:ascii="Times New Roman" w:hAnsi="Times New Roman"/>
          <w:bCs/>
          <w:iCs/>
          <w:sz w:val="28"/>
          <w:szCs w:val="28"/>
        </w:rPr>
        <w:t>тработанное трансмиссионное масло, отработанное гидравлическое масло, о</w:t>
      </w:r>
      <w:r w:rsidRPr="00C258CA">
        <w:rPr>
          <w:rFonts w:ascii="Times New Roman" w:hAnsi="Times New Roman"/>
          <w:sz w:val="28"/>
          <w:szCs w:val="28"/>
        </w:rPr>
        <w:t>тработанные теплоносители (антифриз и др.), фильтры масляные отработанные, фильтры топливные отработанные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C258CA">
        <w:rPr>
          <w:rFonts w:ascii="Times New Roman" w:hAnsi="Times New Roman"/>
          <w:sz w:val="28"/>
          <w:szCs w:val="28"/>
        </w:rPr>
        <w:t xml:space="preserve">ветошь промасленная, </w:t>
      </w:r>
      <w:r w:rsidRPr="00C258CA">
        <w:rPr>
          <w:rFonts w:ascii="Times New Roman" w:hAnsi="Times New Roman"/>
          <w:bCs/>
          <w:iCs/>
          <w:sz w:val="28"/>
          <w:szCs w:val="28"/>
        </w:rPr>
        <w:t>светильники шахтные головные отработанные, с</w:t>
      </w:r>
      <w:r w:rsidRPr="00C258CA">
        <w:rPr>
          <w:rFonts w:ascii="Times New Roman" w:hAnsi="Times New Roman"/>
          <w:sz w:val="28"/>
          <w:szCs w:val="28"/>
        </w:rPr>
        <w:t xml:space="preserve">амоспасатели шахтные отработанные, 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мешкотара полипропиленовая, </w:t>
      </w:r>
      <w:r w:rsidRPr="00C258CA">
        <w:rPr>
          <w:rFonts w:ascii="Times New Roman" w:hAnsi="Times New Roman"/>
          <w:sz w:val="28"/>
          <w:szCs w:val="28"/>
        </w:rPr>
        <w:t xml:space="preserve">тара металлическая из-под ГСМ, 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тара из-под лакокрасочных материалов,  </w:t>
      </w:r>
      <w:r w:rsidRPr="00C258CA">
        <w:rPr>
          <w:rFonts w:ascii="Times New Roman" w:hAnsi="Times New Roman"/>
          <w:sz w:val="28"/>
          <w:szCs w:val="28"/>
        </w:rPr>
        <w:t>нефтешлам при зачистке резервуаров);</w:t>
      </w:r>
    </w:p>
    <w:p w:rsidR="00C258CA" w:rsidRPr="00C258CA" w:rsidRDefault="00C258CA" w:rsidP="00C258CA">
      <w:pPr>
        <w:tabs>
          <w:tab w:val="left" w:pos="1134"/>
        </w:tabs>
        <w:spacing w:after="0"/>
        <w:ind w:firstLine="709"/>
        <w:rPr>
          <w:rFonts w:ascii="Times New Roman" w:eastAsia="Calibri" w:hAnsi="Times New Roman"/>
          <w:color w:val="FF0000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- неопасные отходы – 11 видов (шины автомобильные отработанные, фильтры воздушные отработанные, огарки сварочных электродов, лом черных металлов, лом цветных металлов, отработанные тормозные колодки, лампы энергосберегающие, не содержащие ртуть, использованная спецодежда и обувь, отходы средств индивидуальной защиты (СИЗ), твердые бытовые отходы, в</w:t>
      </w:r>
      <w:r w:rsidRPr="00C258CA">
        <w:rPr>
          <w:rFonts w:ascii="Times New Roman" w:hAnsi="Times New Roman"/>
          <w:bCs/>
          <w:iCs/>
          <w:sz w:val="28"/>
          <w:szCs w:val="28"/>
        </w:rPr>
        <w:t>мещающая порода</w:t>
      </w:r>
      <w:r w:rsidRPr="00C258CA">
        <w:rPr>
          <w:rFonts w:ascii="Times New Roman" w:hAnsi="Times New Roman"/>
          <w:bCs/>
          <w:sz w:val="28"/>
          <w:szCs w:val="28"/>
        </w:rPr>
        <w:t>)</w:t>
      </w:r>
      <w:r w:rsidRPr="00C258CA">
        <w:rPr>
          <w:rFonts w:ascii="Times New Roman" w:eastAsia="Calibri" w:hAnsi="Times New Roman"/>
          <w:sz w:val="28"/>
          <w:szCs w:val="28"/>
        </w:rPr>
        <w:t>.</w:t>
      </w:r>
      <w:r w:rsidRPr="00C258CA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lastRenderedPageBreak/>
        <w:t>- зеркальные отходы – отсутствуют.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Лимит накопления отходов на период отработки запасов месторождения Карашошак на 2026-2030 годы составит 196,23931 т/год. Из них опасные отходы 47,60909 –  т/год, неопасные отходы – 148,63022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Объемы образования вмещающих пород: 2026-2030 гг. – 291080 т. Часть вмещающих пород используется для засыпки отработанного карьерного пространства 2026-2030 гг. – 174648 т, часть используется для подсыпки дорог, рекультивации соседних месторождений, строительства дамб, обваловки и пр. 2026-2030 гг. – 11643,3 т.  Лимит захоронения вмещающих пород составит: 2026-2030 гг. – 104788,7 т.</w:t>
      </w:r>
    </w:p>
    <w:p w:rsidR="00C258CA" w:rsidRPr="00C258CA" w:rsidRDefault="00C258CA" w:rsidP="00C258CA">
      <w:pPr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 w:rsidRPr="00C258CA">
        <w:rPr>
          <w:rFonts w:ascii="Times New Roman" w:eastAsia="Calibri" w:hAnsi="Times New Roman"/>
          <w:sz w:val="28"/>
          <w:szCs w:val="28"/>
        </w:rPr>
        <w:t xml:space="preserve">В соответствии со ст. 336 Кодекса специализированным организациям, занимающимся выполнением работ (оказанием услуг) по переработке, обезвреживанию, удалению и (или)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«О разрешениях и уведомлениях». </w:t>
      </w:r>
    </w:p>
    <w:p w:rsidR="00BA3011" w:rsidRPr="00C258CA" w:rsidRDefault="00C258CA" w:rsidP="00C258C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258CA">
        <w:rPr>
          <w:rFonts w:ascii="Times New Roman" w:hAnsi="Times New Roman"/>
          <w:sz w:val="28"/>
          <w:szCs w:val="28"/>
        </w:rPr>
        <w:t xml:space="preserve">Исходя из соблюдения природоохранных мероприятий при обращении с отходами, должной системы управления отходами, передачей на восстановление и (или) удаление, определено, что уровень воздействия отходов производства и потребления на компоненты окружающей среды можно охарактеризовать как воздействие </w:t>
      </w:r>
      <w:r w:rsidRPr="00C258CA">
        <w:rPr>
          <w:rFonts w:ascii="Times New Roman" w:hAnsi="Times New Roman"/>
          <w:b/>
          <w:sz w:val="28"/>
          <w:szCs w:val="28"/>
        </w:rPr>
        <w:t>допустимое</w:t>
      </w:r>
      <w:r w:rsidR="00BA3011" w:rsidRPr="00C258CA">
        <w:rPr>
          <w:rFonts w:ascii="Times New Roman" w:hAnsi="Times New Roman"/>
          <w:b/>
          <w:sz w:val="28"/>
          <w:szCs w:val="28"/>
        </w:rPr>
        <w:t>.</w:t>
      </w:r>
    </w:p>
    <w:p w:rsidR="00C258CA" w:rsidRDefault="00C258CA" w:rsidP="00C258CA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:rsidR="004D44D0" w:rsidRPr="00C258CA" w:rsidRDefault="00294D4E" w:rsidP="00C258CA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C258CA">
        <w:rPr>
          <w:rFonts w:ascii="Times New Roman" w:hAnsi="Times New Roman"/>
          <w:b/>
          <w:sz w:val="28"/>
          <w:szCs w:val="28"/>
          <w:u w:val="single"/>
        </w:rPr>
        <w:t xml:space="preserve">Сбросы 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  <w:r w:rsidRPr="00C258CA">
        <w:rPr>
          <w:rFonts w:ascii="Times New Roman" w:hAnsi="Times New Roman"/>
          <w:sz w:val="28"/>
          <w:szCs w:val="28"/>
        </w:rPr>
        <w:t>Настоящий проект</w:t>
      </w:r>
      <w:r w:rsidRPr="00C258CA">
        <w:rPr>
          <w:rFonts w:ascii="Times New Roman" w:hAnsi="Times New Roman"/>
          <w:sz w:val="28"/>
          <w:szCs w:val="28"/>
          <w:lang w:val="kk-KZ"/>
        </w:rPr>
        <w:t xml:space="preserve"> нормативов допустимых сбросов загрязняющих веществ, поступающих с шахтными водами (шх. «Карашошак») Жиландинской группы месторождений филиала ТОО «Корпорация Казахмыс» – «Q.I. Satbaev atyndagy Jezqazgan Tau-Ken ondirisi» в пруд-испаритель №1 разработан на 2026-2030 годы.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 настоящем проекте НДС устанавливаются нормативы на 2026-2030 годы на сброс шахтных вод месторождения Карашошак в пруд-испаритель №1.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 настоящий момент по месторождению Карашошак имеется экологическое разрешение на 2025-2026 г. №KZ14VCZ03786825 от 21.11.2024 г. с нормативами допустимых сбросов загрязняющих веществ, поступающих с шахтными водами в пруд-испаритель №1 (приложении 6) в объеме: на 2025 г. – 1378689,25 г/час, 10064,41606 т/год, на 2026 г. – 1953082,5 г/час, 14257,49294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Настоящим проектом, с 2026 года по 2030 год отвод шахтной воды месторождения Карашошак в пруд-испаритель №1 предусматривается одним водовыпуском: водовыпуск №4 – сброс шахтной воды месторождения Карашошак в пруд-испаритель №1.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Данным проектом рассматривается сброс шахтной воды в пруд-испаритель замкнутого типа, т.е. когда нет открытых водозаборов воды на </w:t>
      </w:r>
      <w:r w:rsidRPr="00C258CA">
        <w:rPr>
          <w:rFonts w:ascii="Times New Roman" w:hAnsi="Times New Roman"/>
          <w:sz w:val="28"/>
          <w:szCs w:val="28"/>
        </w:rPr>
        <w:lastRenderedPageBreak/>
        <w:t>орошение и не осуществляются сбросы части стоков накопителя в водные объекты и земную поверхность.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C258CA">
        <w:rPr>
          <w:rFonts w:ascii="Times New Roman" w:hAnsi="Times New Roman"/>
          <w:sz w:val="28"/>
          <w:szCs w:val="28"/>
        </w:rPr>
        <w:t>Гидрографическая сеть района расположения месторождений слаборазвита, на территории отсутствуют водотоки, даже пересыхающие. На расстоянии около 4,6 км в западном направлении от промышленных объектов промплощадки месторождения Карашошак протекает река Жиланды. Расстояние от пруда-испарителя №1 до реки Жиланды составляет около 3,3 км. В летнее время русло реки почти полностью пересыхает, с водотоком река только в период осенне-весенних паводков.</w:t>
      </w:r>
    </w:p>
    <w:p w:rsidR="00C258CA" w:rsidRPr="00C258CA" w:rsidRDefault="00C258CA" w:rsidP="00C258C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 соответствии с постановлением акимата области Ұлытау от 20.05.2025 г. № 43/01 «Об установлении водоохранных зон, полос водных объектов области Ұлытау и режима их хозяйственного использования», размер водоохранной зоны для реки Жиланды составляет 500 м, водоохранной полосы – 50-100 м. Таким образом, пруд-испаритель не входит в водоохранную зону и полосу реки Жиланды.</w:t>
      </w:r>
    </w:p>
    <w:p w:rsidR="00C258CA" w:rsidRPr="00C258CA" w:rsidRDefault="00C258CA" w:rsidP="00C258CA">
      <w:pPr>
        <w:shd w:val="clear" w:color="auto" w:fill="FFFFFF"/>
        <w:spacing w:after="0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В районе расположения пруда-испарителя особо охраняемые природные объекты отсутствуют.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При нормировании сброса шахтной воды месторождения Карашошак в пруд-испаритель №1 на 2026-2030 гг. принят расчетный ДС по результатам анализов шахтной воды, выполненных аккредитованными лабораториями и прогнозного водопритока.</w:t>
      </w:r>
    </w:p>
    <w:p w:rsidR="00C258CA" w:rsidRPr="00C258CA" w:rsidRDefault="00C258CA" w:rsidP="00C258CA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C258CA">
        <w:rPr>
          <w:sz w:val="28"/>
          <w:szCs w:val="28"/>
        </w:rPr>
        <w:t>Нормативы сбросов загрязняющих веществ, поступающих с шахтными водами месторождения Карашошак в пруд-испаритель №1 по водовыпуску №4, составят: на 2026 г. – 862766,44 г/час, 6298,177589 т/год, на 2027 г. – 1108606,84 г/час, 8092,832557 т/год, на 2028 г. – 1415912,91 г/час, 10336,15127 т/год, на 2029 г. – 1415912,91 г/час, 10336,15127 т/год, на 2030 г. – 1646386,87 г/час, 12018,6403 т/год.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Перечень нормируемых веществ, отводимых с шахтной водой по водовыпуску №4 </w:t>
      </w:r>
      <w:r w:rsidRPr="00C258CA">
        <w:rPr>
          <w:rFonts w:ascii="Times New Roman" w:hAnsi="Times New Roman"/>
          <w:bCs/>
          <w:iCs/>
          <w:sz w:val="28"/>
          <w:szCs w:val="28"/>
        </w:rPr>
        <w:t xml:space="preserve">в пруд-испаритель №1 </w:t>
      </w:r>
      <w:r w:rsidRPr="00C258CA">
        <w:rPr>
          <w:rFonts w:ascii="Times New Roman" w:hAnsi="Times New Roman"/>
          <w:sz w:val="28"/>
          <w:szCs w:val="28"/>
        </w:rPr>
        <w:t>соответствует «Перечню загрязняющих веществ, эмиссии которых подлежат экологическому нормированию», утвержденных приказом Министра экологии, геологии и природных ресурсов РК от 25.06.2021 года №212, и состоит из 17 веществ: хлориды, сульфаты, взвешенные вещества, нитраты, нитриты, азот аммонийный, медь, свинец, железо, цинк, БПК</w:t>
      </w:r>
      <w:r w:rsidRPr="00C258CA">
        <w:rPr>
          <w:rFonts w:ascii="Times New Roman" w:hAnsi="Times New Roman"/>
          <w:sz w:val="28"/>
          <w:szCs w:val="28"/>
          <w:vertAlign w:val="subscript"/>
        </w:rPr>
        <w:t>полн.</w:t>
      </w:r>
      <w:r w:rsidRPr="00C258CA">
        <w:rPr>
          <w:rFonts w:ascii="Times New Roman" w:hAnsi="Times New Roman"/>
          <w:sz w:val="28"/>
          <w:szCs w:val="28"/>
        </w:rPr>
        <w:t>, нефтепродукты, бериллий, бор, кадмий, марганец и барий.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Расчетные условия для определения величины допустимого сброса в соответствии с п. 74 Методики определения нормативов эмиссий в окружающую среду, утвержденной приказом Министра экологии, геологии и природных ресурсов РК от 10.03.2021 года № 63 приняты </w:t>
      </w:r>
      <w:r w:rsidRPr="00C258CA">
        <w:rPr>
          <w:rFonts w:ascii="Times New Roman" w:hAnsi="Times New Roman"/>
          <w:b/>
          <w:sz w:val="28"/>
          <w:szCs w:val="28"/>
        </w:rPr>
        <w:t xml:space="preserve">по максимальным значениям фактических данных </w:t>
      </w:r>
      <w:r w:rsidRPr="00C258CA">
        <w:rPr>
          <w:rFonts w:ascii="Times New Roman" w:hAnsi="Times New Roman"/>
          <w:sz w:val="28"/>
          <w:szCs w:val="28"/>
        </w:rPr>
        <w:t xml:space="preserve">(по загрязняющим веществам фонового состояния карьерных и (или) шахтных вод) </w:t>
      </w:r>
      <w:r w:rsidRPr="00C258CA">
        <w:rPr>
          <w:rFonts w:ascii="Times New Roman" w:hAnsi="Times New Roman"/>
          <w:b/>
          <w:sz w:val="28"/>
          <w:szCs w:val="28"/>
        </w:rPr>
        <w:t>за предыдущие три года</w:t>
      </w:r>
      <w:r w:rsidRPr="00C258CA">
        <w:rPr>
          <w:rFonts w:ascii="Times New Roman" w:hAnsi="Times New Roman"/>
          <w:sz w:val="28"/>
          <w:szCs w:val="28"/>
        </w:rPr>
        <w:t>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 xml:space="preserve">Кроме того, отмечаем, что пруд-испаритель №1 является гидроизолированным сооружением с противофильтрационным экраном. Сооружение данного типа полностью исключает фильтрацию сточных вод в </w:t>
      </w:r>
      <w:r w:rsidRPr="00C258CA">
        <w:rPr>
          <w:rFonts w:ascii="Times New Roman" w:hAnsi="Times New Roman"/>
          <w:sz w:val="28"/>
          <w:szCs w:val="28"/>
        </w:rPr>
        <w:lastRenderedPageBreak/>
        <w:t>подземные горизонты, следовательно, пруд-испаритель не окажет влияния на почву и грунтовые воды.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Контроль за состоянием подземных вод пруда-испарителя и месторождения Карашошак проводится по организованной сети мониторинговых скважин службой гидрогеолога в соответствии с Рабочим проектом «Организация и ведение мониторинга подземных вод Жиландинской группы месторождений».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Контроль соблюдения нормативов допустимых сбросов на выпуске сточных вод при сбросе шахтной воды в пруд-испаритель №1, осуществляет отдел производственного экологического контроля на основе программы производственного экологического контроля.</w:t>
      </w:r>
    </w:p>
    <w:p w:rsidR="00C258CA" w:rsidRPr="00C258CA" w:rsidRDefault="00C258CA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58CA">
        <w:rPr>
          <w:rFonts w:ascii="Times New Roman" w:hAnsi="Times New Roman"/>
          <w:sz w:val="28"/>
          <w:szCs w:val="28"/>
        </w:rPr>
        <w:t>Согласно решению по определению категории объекта, оказывающего негативное воздействие на окружающую среду от 6.09.2021 г., деятельность месторождения Карашошак относится к объектам I категории. Согласно приложению 2 Экологического кодекса РК и «</w:t>
      </w:r>
      <w:r w:rsidRPr="00C258CA">
        <w:rPr>
          <w:rFonts w:ascii="Times New Roman" w:hAnsi="Times New Roman"/>
          <w:color w:val="000000"/>
          <w:sz w:val="28"/>
          <w:szCs w:val="28"/>
        </w:rPr>
        <w:t xml:space="preserve">Инструкции по определению категории объекта, оказывающего негативное воздействие на окружающую среду», утв. приказом Министра экологии, геологии и природных ресурсов РК от 13 июля 2021 года № 246, данный вид деятельности относится к </w:t>
      </w:r>
      <w:r w:rsidRPr="00C258CA">
        <w:rPr>
          <w:rFonts w:ascii="Times New Roman" w:hAnsi="Times New Roman"/>
          <w:sz w:val="28"/>
          <w:szCs w:val="28"/>
        </w:rPr>
        <w:t>I категории.</w:t>
      </w:r>
    </w:p>
    <w:p w:rsidR="00D74280" w:rsidRPr="00C258CA" w:rsidRDefault="00D74280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D44D0" w:rsidRPr="00C258CA" w:rsidRDefault="004D44D0" w:rsidP="00C258C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4D44D0" w:rsidRPr="00C258CA"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1" w:rsidRDefault="00BA3011" w:rsidP="00BA3011">
      <w:pPr>
        <w:spacing w:after="0"/>
      </w:pPr>
      <w:r>
        <w:separator/>
      </w:r>
    </w:p>
  </w:endnote>
  <w:endnote w:type="continuationSeparator" w:id="0">
    <w:p w:rsidR="00BA3011" w:rsidRDefault="00BA3011" w:rsidP="00BA3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D5" w:rsidRPr="002A50AA" w:rsidRDefault="00BA3011">
    <w:pPr>
      <w:pStyle w:val="ab"/>
      <w:framePr w:wrap="around" w:vAnchor="text" w:hAnchor="margin" w:xAlign="right" w:y="1"/>
      <w:rPr>
        <w:rStyle w:val="ad"/>
        <w:sz w:val="28"/>
      </w:rPr>
    </w:pPr>
    <w:r w:rsidRPr="002A50AA">
      <w:rPr>
        <w:rStyle w:val="ad"/>
        <w:sz w:val="28"/>
      </w:rPr>
      <w:fldChar w:fldCharType="begin"/>
    </w:r>
    <w:r w:rsidRPr="002A50AA">
      <w:rPr>
        <w:rStyle w:val="ad"/>
        <w:sz w:val="28"/>
      </w:rPr>
      <w:instrText xml:space="preserve">PAGE  </w:instrText>
    </w:r>
    <w:r w:rsidRPr="002A50AA">
      <w:rPr>
        <w:rStyle w:val="ad"/>
        <w:sz w:val="28"/>
      </w:rPr>
      <w:fldChar w:fldCharType="end"/>
    </w:r>
  </w:p>
  <w:p w:rsidR="004223D5" w:rsidRPr="002A50AA" w:rsidRDefault="00C258CA">
    <w:pPr>
      <w:pStyle w:val="ab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1" w:rsidRDefault="00BA3011" w:rsidP="00BA3011">
      <w:pPr>
        <w:spacing w:after="0"/>
      </w:pPr>
      <w:r>
        <w:separator/>
      </w:r>
    </w:p>
  </w:footnote>
  <w:footnote w:type="continuationSeparator" w:id="0">
    <w:p w:rsidR="00BA3011" w:rsidRDefault="00BA3011" w:rsidP="00BA3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D09"/>
    <w:multiLevelType w:val="hybridMultilevel"/>
    <w:tmpl w:val="BE02D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7552B"/>
    <w:multiLevelType w:val="hybridMultilevel"/>
    <w:tmpl w:val="3982B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3E8F"/>
    <w:multiLevelType w:val="multilevel"/>
    <w:tmpl w:val="D9589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90918"/>
    <w:multiLevelType w:val="hybridMultilevel"/>
    <w:tmpl w:val="1A5A4956"/>
    <w:lvl w:ilvl="0" w:tplc="5A0A8CF8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D40C13"/>
    <w:multiLevelType w:val="hybridMultilevel"/>
    <w:tmpl w:val="113A4C3A"/>
    <w:lvl w:ilvl="0" w:tplc="59F68D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C2060E"/>
    <w:multiLevelType w:val="hybridMultilevel"/>
    <w:tmpl w:val="DBECAB64"/>
    <w:lvl w:ilvl="0" w:tplc="4B3CC04A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33365FA"/>
    <w:multiLevelType w:val="hybridMultilevel"/>
    <w:tmpl w:val="2EBE9B52"/>
    <w:lvl w:ilvl="0" w:tplc="78FCC262">
      <w:start w:val="2"/>
      <w:numFmt w:val="bullet"/>
      <w:pStyle w:val="MARKER1"/>
      <w:lvlText w:val=""/>
      <w:lvlJc w:val="left"/>
      <w:pPr>
        <w:tabs>
          <w:tab w:val="num" w:pos="454"/>
        </w:tabs>
        <w:ind w:left="454" w:hanging="341"/>
      </w:pPr>
      <w:rPr>
        <w:rFonts w:ascii="Symbol" w:eastAsia="Times New Roman" w:hAnsi="Symbol" w:cs="Times New Roman" w:hint="default"/>
        <w:b w:val="0"/>
        <w:color w:val="auto"/>
        <w:sz w:val="22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72"/>
    <w:rsid w:val="00070B7B"/>
    <w:rsid w:val="00294D4E"/>
    <w:rsid w:val="00424A6A"/>
    <w:rsid w:val="004C48F7"/>
    <w:rsid w:val="004D44D0"/>
    <w:rsid w:val="00532C03"/>
    <w:rsid w:val="00565D72"/>
    <w:rsid w:val="008C19FC"/>
    <w:rsid w:val="008E424F"/>
    <w:rsid w:val="009C35D6"/>
    <w:rsid w:val="00B7368D"/>
    <w:rsid w:val="00BA3011"/>
    <w:rsid w:val="00C258CA"/>
    <w:rsid w:val="00C44E36"/>
    <w:rsid w:val="00D74280"/>
    <w:rsid w:val="00E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5383"/>
  <w15:chartTrackingRefBased/>
  <w15:docId w15:val="{71A02965-C425-437E-9192-C989BEA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72"/>
    <w:pPr>
      <w:kinsoku w:val="0"/>
      <w:overflowPunct w:val="0"/>
      <w:autoSpaceDE w:val="0"/>
      <w:autoSpaceDN w:val="0"/>
      <w:adjustRightInd w:val="0"/>
      <w:snapToGrid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aliases w:val="KAAE,Chapter Head,HeadingR 1,HeadingR 11,HeadingR 12,HeadingR 13,HeadingR 14,HeadingR 15,HeadingR 16,RSKH1,Hoofdstuk,Modulo,- 1st Order Heading,Report Heading 1,TA CHAPTER NO.,. (1.0),CHAPTER HEADER,ALK_K1,Heading 1_ARGOSS,Ззаголовок 1,D&amp;M,H"/>
    <w:basedOn w:val="a"/>
    <w:next w:val="a"/>
    <w:link w:val="10"/>
    <w:uiPriority w:val="99"/>
    <w:qFormat/>
    <w:rsid w:val="00565D72"/>
    <w:pPr>
      <w:widowControl w:val="0"/>
      <w:spacing w:after="0"/>
      <w:ind w:firstLine="709"/>
      <w:outlineLvl w:val="0"/>
    </w:pPr>
    <w:rPr>
      <w:rFonts w:ascii="Times New Roman" w:hAnsi="Times New Roman"/>
      <w:b/>
      <w:bCs/>
      <w:caps/>
      <w:kern w:val="32"/>
      <w:sz w:val="28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KAAE Знак,Chapter Head Знак,HeadingR 1 Знак,HeadingR 11 Знак,HeadingR 12 Знак,HeadingR 13 Знак,HeadingR 14 Знак,HeadingR 15 Знак,HeadingR 16 Знак,RSKH1 Знак,Hoofdstuk Знак,Modulo Знак,- 1st Order Heading Знак,Report Heading 1 Знак"/>
    <w:basedOn w:val="a0"/>
    <w:link w:val="1"/>
    <w:uiPriority w:val="99"/>
    <w:rsid w:val="00565D72"/>
    <w:rPr>
      <w:rFonts w:ascii="Times New Roman" w:eastAsia="Times New Roman" w:hAnsi="Times New Roman" w:cs="Times New Roman"/>
      <w:b/>
      <w:bCs/>
      <w:caps/>
      <w:kern w:val="32"/>
      <w:sz w:val="28"/>
      <w:lang w:val="x-none" w:eastAsia="x-none"/>
    </w:rPr>
  </w:style>
  <w:style w:type="paragraph" w:styleId="a3">
    <w:name w:val="List Paragraph"/>
    <w:aliases w:val="маркированный,Paragraph,Citation List,Resume Title,List Paragraph Char Char,Bullet 1,List Paragraph1,b1,Number_1,SGLText List Paragraph,new,lp1,Normal Sentence,Colorful List - Accent 11,ListPar1,List Paragraph2,List Paragraph11,list1,HEAD 3"/>
    <w:basedOn w:val="a"/>
    <w:link w:val="a4"/>
    <w:uiPriority w:val="34"/>
    <w:qFormat/>
    <w:rsid w:val="00565D72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qFormat/>
    <w:rsid w:val="00565D72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Paragraph Знак,Citation List Знак,Resume Title Знак,List Paragraph Char Char Знак,Bullet 1 Знак,List Paragraph1 Знак,b1 Знак,Number_1 Знак,SGLText List Paragraph Знак,new Знак,lp1 Знак,Normal Sentence Знак,list1 Знак"/>
    <w:link w:val="a3"/>
    <w:uiPriority w:val="34"/>
    <w:qFormat/>
    <w:locked/>
    <w:rsid w:val="00565D7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Основной текст + Курсив"/>
    <w:rsid w:val="00565D7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MARKER1">
    <w:name w:val="**MARKER_1"/>
    <w:basedOn w:val="a"/>
    <w:link w:val="MARKER10"/>
    <w:qFormat/>
    <w:rsid w:val="00B7368D"/>
    <w:pPr>
      <w:numPr>
        <w:numId w:val="5"/>
      </w:numPr>
    </w:pPr>
  </w:style>
  <w:style w:type="character" w:customStyle="1" w:styleId="MARKER10">
    <w:name w:val="**MARKER_1 Знак Знак"/>
    <w:link w:val="MARKER1"/>
    <w:rsid w:val="00B7368D"/>
    <w:rPr>
      <w:rFonts w:ascii="Arial" w:eastAsia="Times New Roman" w:hAnsi="Arial" w:cs="Times New Roman"/>
      <w:sz w:val="20"/>
      <w:szCs w:val="20"/>
      <w:lang w:eastAsia="ru-RU"/>
    </w:rPr>
  </w:style>
  <w:style w:type="table" w:styleId="a6">
    <w:name w:val="Table Grid"/>
    <w:basedOn w:val="a1"/>
    <w:rsid w:val="000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Основной текст с отступом Знак1,Основной текст с отступом Знак Знак"/>
    <w:basedOn w:val="a"/>
    <w:link w:val="a8"/>
    <w:unhideWhenUsed/>
    <w:qFormat/>
    <w:rsid w:val="00D74280"/>
    <w:pPr>
      <w:kinsoku/>
      <w:overflowPunct/>
      <w:autoSpaceDE/>
      <w:autoSpaceDN/>
      <w:adjustRightInd/>
      <w:snapToGrid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с отступом Знак1 Знак,Основной текст с отступом Знак Знак Знак"/>
    <w:basedOn w:val="a0"/>
    <w:link w:val="a7"/>
    <w:rsid w:val="00D7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Title Up,h,Header_ARGOSS,??????? ??????????,FirstPageHeader,FirstPageHeader1,FirstPageHeader2,FirstPageHeader3,FirstPageHeader4,FirstPageHeader5,FirstPageHeader6,FirstPageHeader7,FirstPageHeader8,FirstPageHeader9,FirstPageHeader10"/>
    <w:basedOn w:val="a"/>
    <w:link w:val="aa"/>
    <w:uiPriority w:val="99"/>
    <w:qFormat/>
    <w:rsid w:val="00BA3011"/>
    <w:pPr>
      <w:tabs>
        <w:tab w:val="center" w:pos="4677"/>
        <w:tab w:val="right" w:pos="9355"/>
      </w:tabs>
      <w:kinsoku/>
      <w:overflowPunct/>
      <w:autoSpaceDE/>
      <w:autoSpaceDN/>
      <w:adjustRightInd/>
      <w:snapToGrid/>
      <w:spacing w:after="0"/>
      <w:jc w:val="left"/>
    </w:pPr>
    <w:rPr>
      <w:rFonts w:ascii="Times New Roman" w:hAnsi="Times New Roman"/>
    </w:rPr>
  </w:style>
  <w:style w:type="character" w:customStyle="1" w:styleId="aa">
    <w:name w:val="Верхний колонтитул Знак"/>
    <w:aliases w:val="Title Up Знак,h Знак,Header_ARGOSS Знак,??????? ?????????? Знак,FirstPageHeader Знак,FirstPageHeader1 Знак,FirstPageHeader2 Знак,FirstPageHeader3 Знак,FirstPageHeader4 Знак,FirstPageHeader5 Знак,FirstPageHeader6 Знак"/>
    <w:basedOn w:val="a0"/>
    <w:link w:val="a9"/>
    <w:uiPriority w:val="99"/>
    <w:rsid w:val="00BA3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aliases w:val="Title Down,Footer_ARGOSS"/>
    <w:basedOn w:val="a"/>
    <w:link w:val="ac"/>
    <w:uiPriority w:val="99"/>
    <w:qFormat/>
    <w:rsid w:val="00BA3011"/>
    <w:pPr>
      <w:tabs>
        <w:tab w:val="center" w:pos="4677"/>
        <w:tab w:val="right" w:pos="9355"/>
      </w:tabs>
      <w:kinsoku/>
      <w:overflowPunct/>
      <w:autoSpaceDE/>
      <w:autoSpaceDN/>
      <w:adjustRightInd/>
      <w:snapToGrid/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aliases w:val="Title Down Знак,Footer_ARGOSS Знак"/>
    <w:basedOn w:val="a0"/>
    <w:link w:val="ab"/>
    <w:uiPriority w:val="99"/>
    <w:rsid w:val="00BA3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aliases w:val="Page Number arabic"/>
    <w:basedOn w:val="a0"/>
    <w:rsid w:val="00BA3011"/>
  </w:style>
  <w:style w:type="character" w:styleId="ae">
    <w:name w:val="Hyperlink"/>
    <w:uiPriority w:val="99"/>
    <w:semiHidden/>
    <w:rsid w:val="00C258CA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C258CA"/>
  </w:style>
  <w:style w:type="character" w:customStyle="1" w:styleId="af0">
    <w:name w:val="Основной текст Знак"/>
    <w:basedOn w:val="a0"/>
    <w:link w:val="af"/>
    <w:uiPriority w:val="99"/>
    <w:semiHidden/>
    <w:rsid w:val="00C258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0">
    <w:name w:val="s0"/>
    <w:rsid w:val="00C258C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kz/memleket/entities/ulyt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Сулейменова</dc:creator>
  <cp:keywords/>
  <dc:description/>
  <cp:lastModifiedBy>Айжан Сулейменова</cp:lastModifiedBy>
  <cp:revision>6</cp:revision>
  <dcterms:created xsi:type="dcterms:W3CDTF">2026-03-18T09:17:00Z</dcterms:created>
  <dcterms:modified xsi:type="dcterms:W3CDTF">2026-04-23T07:35:00Z</dcterms:modified>
</cp:coreProperties>
</file>