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354C" w14:textId="3C16E9E3" w:rsidR="004E5502" w:rsidRPr="003023A4" w:rsidRDefault="004E5502" w:rsidP="004E5502">
      <w:pPr>
        <w:jc w:val="center"/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  <w:shd w:val="clear" w:color="auto" w:fill="FFFFFF"/>
          <w:lang w:val="ru-RU"/>
        </w:rPr>
      </w:pPr>
      <w:r w:rsidRPr="00710CD9"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  <w:shd w:val="clear" w:color="auto" w:fill="FFFFFF"/>
          <w:lang w:val="ru-RU"/>
        </w:rPr>
        <w:t>Н</w:t>
      </w:r>
      <w:r w:rsidRPr="00710CD9"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  <w:shd w:val="clear" w:color="auto" w:fill="FFFFFF"/>
        </w:rPr>
        <w:t xml:space="preserve">етехническое резюме </w:t>
      </w:r>
    </w:p>
    <w:p w14:paraId="21877B3B" w14:textId="77777777" w:rsidR="004E5502" w:rsidRPr="00710CD9" w:rsidRDefault="004E5502" w:rsidP="004E5502">
      <w:pPr>
        <w:pStyle w:val="Default"/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4506364A" w14:textId="38EFAE19" w:rsidR="004E5502" w:rsidRPr="00710CD9" w:rsidRDefault="004E5502" w:rsidP="004E5502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kk-KZ" w:eastAsia="ru-RU"/>
        </w:rPr>
      </w:pPr>
      <w:r w:rsidRPr="00710CD9">
        <w:rPr>
          <w:rFonts w:ascii="Times New Roman" w:hAnsi="Times New Roman"/>
          <w:sz w:val="28"/>
          <w:szCs w:val="28"/>
          <w:lang w:eastAsia="ru-RU"/>
        </w:rPr>
        <w:t>Проект нормативов допустимых выбросов ЗВ в атмосферу, ПУО, ПЭК, ППМ</w:t>
      </w:r>
      <w:r w:rsidR="003823C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710CD9">
        <w:rPr>
          <w:rFonts w:ascii="Times New Roman" w:hAnsi="Times New Roman"/>
          <w:sz w:val="28"/>
          <w:szCs w:val="28"/>
          <w:lang w:eastAsia="ru-RU"/>
        </w:rPr>
        <w:t>для подразделений АО "Озенмунайгаз"</w:t>
      </w:r>
      <w:r w:rsidRPr="00710CD9">
        <w:rPr>
          <w:rFonts w:ascii="Times New Roman" w:hAnsi="Times New Roman"/>
          <w:sz w:val="28"/>
          <w:szCs w:val="28"/>
          <w:lang w:val="kk-KZ" w:eastAsia="ru-RU"/>
        </w:rPr>
        <w:t>.</w:t>
      </w:r>
    </w:p>
    <w:p w14:paraId="1A5D7CF7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2) список административно-территориальных единиц, на территорию которых может быть оказано воздействие и на территории которых будут проведены общественные слушания (если общественные слушания по одному и тому же предмету слушаний проводятся более чем в одной административно-территориальной единице);</w:t>
      </w:r>
    </w:p>
    <w:p w14:paraId="0F8FDF88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Мангистауская область, г.Жанаозен</w:t>
      </w:r>
    </w:p>
    <w:p w14:paraId="1D7F290B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1</w:t>
      </w:r>
      <w:r w:rsidRPr="00710CD9">
        <w:rPr>
          <w:rFonts w:ascii="Times New Roman" w:hAnsi="Times New Roman" w:cs="Times New Roman"/>
          <w:sz w:val="28"/>
          <w:szCs w:val="28"/>
        </w:rPr>
        <w:tab/>
        <w:t>43°29/55//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52°35/40//ВД</w:t>
      </w:r>
    </w:p>
    <w:p w14:paraId="32564D29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2</w:t>
      </w:r>
      <w:r w:rsidRPr="00710CD9">
        <w:rPr>
          <w:rFonts w:ascii="Times New Roman" w:hAnsi="Times New Roman" w:cs="Times New Roman"/>
          <w:sz w:val="28"/>
          <w:szCs w:val="28"/>
        </w:rPr>
        <w:tab/>
        <w:t>43°30/25//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52°36/10//ВД</w:t>
      </w:r>
    </w:p>
    <w:p w14:paraId="33DAE048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3</w:t>
      </w:r>
      <w:r w:rsidRPr="00710CD9">
        <w:rPr>
          <w:rFonts w:ascii="Times New Roman" w:hAnsi="Times New Roman" w:cs="Times New Roman"/>
          <w:sz w:val="28"/>
          <w:szCs w:val="28"/>
        </w:rPr>
        <w:tab/>
        <w:t>43°29/55// СШ;          52°37/40// ВД</w:t>
      </w:r>
    </w:p>
    <w:p w14:paraId="6EDB0172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4</w:t>
      </w:r>
      <w:r w:rsidRPr="00710CD9">
        <w:rPr>
          <w:rFonts w:ascii="Times New Roman" w:hAnsi="Times New Roman" w:cs="Times New Roman"/>
          <w:sz w:val="28"/>
          <w:szCs w:val="28"/>
        </w:rPr>
        <w:tab/>
        <w:t>43°30/00//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52°39/00// ВД</w:t>
      </w:r>
    </w:p>
    <w:p w14:paraId="62D363B4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5</w:t>
      </w:r>
      <w:r w:rsidRPr="00710CD9">
        <w:rPr>
          <w:rFonts w:ascii="Times New Roman" w:hAnsi="Times New Roman" w:cs="Times New Roman"/>
          <w:sz w:val="28"/>
          <w:szCs w:val="28"/>
        </w:rPr>
        <w:tab/>
        <w:t>43°29/50//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52°40/05// ВД</w:t>
      </w:r>
    </w:p>
    <w:p w14:paraId="62A4E2CE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6</w:t>
      </w:r>
      <w:r w:rsidRPr="00710CD9">
        <w:rPr>
          <w:rFonts w:ascii="Times New Roman" w:hAnsi="Times New Roman" w:cs="Times New Roman"/>
          <w:sz w:val="28"/>
          <w:szCs w:val="28"/>
        </w:rPr>
        <w:tab/>
        <w:t>43°29/35//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52°41/10// ВД</w:t>
      </w:r>
    </w:p>
    <w:p w14:paraId="6A9DE0AF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7</w:t>
      </w:r>
      <w:r w:rsidRPr="00710CD9">
        <w:rPr>
          <w:rFonts w:ascii="Times New Roman" w:hAnsi="Times New Roman" w:cs="Times New Roman"/>
          <w:sz w:val="28"/>
          <w:szCs w:val="28"/>
        </w:rPr>
        <w:tab/>
        <w:t>43°29//00//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52°40/25// ВД</w:t>
      </w:r>
    </w:p>
    <w:p w14:paraId="45C19056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>8</w:t>
      </w:r>
      <w:r w:rsidRPr="00710CD9">
        <w:rPr>
          <w:rFonts w:ascii="Times New Roman" w:hAnsi="Times New Roman" w:cs="Times New Roman"/>
          <w:sz w:val="28"/>
          <w:szCs w:val="28"/>
        </w:rPr>
        <w:tab/>
        <w:t>43°28/45//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52°38/15// ВД</w:t>
      </w:r>
    </w:p>
    <w:p w14:paraId="2DCB0943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 xml:space="preserve">9 </w:t>
      </w:r>
      <w:r w:rsidRPr="00710CD9">
        <w:rPr>
          <w:rFonts w:ascii="Times New Roman" w:hAnsi="Times New Roman" w:cs="Times New Roman"/>
          <w:sz w:val="28"/>
          <w:szCs w:val="28"/>
        </w:rPr>
        <w:tab/>
        <w:t>43°28/50//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52°37/25// ВД</w:t>
      </w:r>
    </w:p>
    <w:p w14:paraId="612F16E5" w14:textId="77777777" w:rsidR="004E5502" w:rsidRPr="00710CD9" w:rsidRDefault="004E5502" w:rsidP="004E550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0CD9">
        <w:rPr>
          <w:rFonts w:ascii="Times New Roman" w:hAnsi="Times New Roman" w:cs="Times New Roman"/>
          <w:sz w:val="28"/>
          <w:szCs w:val="28"/>
        </w:rPr>
        <w:t>10</w:t>
      </w:r>
      <w:r w:rsidRPr="00710CD9">
        <w:rPr>
          <w:rFonts w:ascii="Times New Roman" w:hAnsi="Times New Roman" w:cs="Times New Roman"/>
          <w:sz w:val="28"/>
          <w:szCs w:val="28"/>
        </w:rPr>
        <w:tab/>
        <w:t>43°29/20// СШ;</w:t>
      </w:r>
      <w:r w:rsidRPr="00710CD9">
        <w:rPr>
          <w:rFonts w:ascii="Times New Roman" w:hAnsi="Times New Roman" w:cs="Times New Roman"/>
          <w:sz w:val="28"/>
          <w:szCs w:val="28"/>
        </w:rPr>
        <w:tab/>
        <w:t>52°36/25// ВД</w:t>
      </w:r>
    </w:p>
    <w:p w14:paraId="3010F3F5" w14:textId="77777777" w:rsidR="00710CD9" w:rsidRPr="00710CD9" w:rsidRDefault="00710CD9" w:rsidP="00710CD9">
      <w:pPr>
        <w:widowControl w:val="0"/>
        <w:tabs>
          <w:tab w:val="left" w:pos="993"/>
        </w:tabs>
        <w:spacing w:before="1"/>
        <w:ind w:right="14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Вид деятельности предприятия: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АО «Озенмунайгаз» осуществляет добычу нефти и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газа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месторождениях</w:t>
      </w:r>
      <w:r w:rsidRPr="00710CD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Мангистауской области:</w:t>
      </w:r>
    </w:p>
    <w:p w14:paraId="156BD5D3" w14:textId="77777777" w:rsidR="00710CD9" w:rsidRPr="00710CD9" w:rsidRDefault="00710CD9" w:rsidP="00710CD9">
      <w:pPr>
        <w:widowControl w:val="0"/>
        <w:tabs>
          <w:tab w:val="left" w:pos="993"/>
        </w:tabs>
        <w:ind w:right="14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Месторождение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«Узень» было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открыто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1961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года.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Общество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занимается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освоением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нефтегазовых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месторождений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Узень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Карамандыбас,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характеризующихся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сложным геологическим строением и уникальными свойствами нефти, которые выражаются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высоким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содержанием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парафина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 асфальтно-смолистых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компонентов.</w:t>
      </w:r>
    </w:p>
    <w:p w14:paraId="64F6AEA1" w14:textId="77777777" w:rsidR="00710CD9" w:rsidRPr="00710CD9" w:rsidRDefault="00710CD9" w:rsidP="00710CD9">
      <w:pPr>
        <w:widowControl w:val="0"/>
        <w:tabs>
          <w:tab w:val="left" w:pos="993"/>
        </w:tabs>
        <w:ind w:right="14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Общество состоит из четырех основных нефтегазодобывающих управлений, управления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подготовке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нефти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производственного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обслуживания,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вспомогательных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управлений,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выполняющих</w:t>
      </w:r>
      <w:r w:rsidRPr="00710CD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различные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сервисные</w:t>
      </w:r>
      <w:r w:rsidRPr="00710CD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услуги.</w:t>
      </w:r>
    </w:p>
    <w:p w14:paraId="6696526B" w14:textId="77777777" w:rsidR="00710CD9" w:rsidRPr="00710CD9" w:rsidRDefault="00710CD9" w:rsidP="00710CD9">
      <w:pPr>
        <w:widowControl w:val="0"/>
        <w:tabs>
          <w:tab w:val="left" w:pos="993"/>
        </w:tabs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Общая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площадь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отведенного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земельного</w:t>
      </w:r>
      <w:r w:rsidRPr="00710CD9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участка для производственной деятельности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АО</w:t>
      </w:r>
      <w:r w:rsidRPr="00710CD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«Озенмунайгаз»</w:t>
      </w:r>
      <w:r w:rsidRPr="00710CD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составляет 39</w:t>
      </w:r>
      <w:r w:rsidRPr="00710CD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868,6697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га, в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том числе:</w:t>
      </w:r>
    </w:p>
    <w:p w14:paraId="2FE4BD58" w14:textId="77777777" w:rsidR="00710CD9" w:rsidRPr="00710CD9" w:rsidRDefault="00710CD9" w:rsidP="00710CD9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420,746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Жанаозен;</w:t>
      </w:r>
    </w:p>
    <w:p w14:paraId="7540B713" w14:textId="77777777" w:rsidR="00710CD9" w:rsidRPr="00710CD9" w:rsidRDefault="00710CD9" w:rsidP="00710CD9">
      <w:pPr>
        <w:widowControl w:val="0"/>
        <w:tabs>
          <w:tab w:val="left" w:pos="993"/>
        </w:tabs>
        <w:ind w:right="1" w:firstLine="709"/>
        <w:jc w:val="both"/>
        <w:rPr>
          <w:rFonts w:ascii="Times New Roman" w:hAnsi="Times New Roman" w:cs="Times New Roman"/>
          <w:color w:val="000000"/>
          <w:spacing w:val="-57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35 413,6499 га в Каракиянском районе;</w:t>
      </w:r>
      <w:r w:rsidRPr="00710CD9">
        <w:rPr>
          <w:rFonts w:ascii="Times New Roman" w:hAnsi="Times New Roman" w:cs="Times New Roman"/>
          <w:color w:val="000000"/>
          <w:spacing w:val="-57"/>
          <w:sz w:val="28"/>
          <w:szCs w:val="28"/>
        </w:rPr>
        <w:t xml:space="preserve"> </w:t>
      </w:r>
    </w:p>
    <w:p w14:paraId="4EBC5980" w14:textId="77777777" w:rsidR="00710CD9" w:rsidRPr="00710CD9" w:rsidRDefault="00710CD9" w:rsidP="00710CD9">
      <w:pPr>
        <w:widowControl w:val="0"/>
        <w:tabs>
          <w:tab w:val="left" w:pos="993"/>
        </w:tabs>
        <w:ind w:right="1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26,97 га в Мангистауском районе;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14:paraId="2AC2583F" w14:textId="77777777" w:rsidR="00710CD9" w:rsidRPr="00710CD9" w:rsidRDefault="00710CD9" w:rsidP="00710CD9">
      <w:pPr>
        <w:widowControl w:val="0"/>
        <w:tabs>
          <w:tab w:val="left" w:pos="993"/>
        </w:tabs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7,3001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710CD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Актау;</w:t>
      </w:r>
    </w:p>
    <w:p w14:paraId="7CC02D11" w14:textId="77777777" w:rsidR="00710CD9" w:rsidRPr="00710CD9" w:rsidRDefault="00710CD9" w:rsidP="00710CD9">
      <w:pPr>
        <w:widowControl w:val="0"/>
        <w:tabs>
          <w:tab w:val="left" w:pos="993"/>
        </w:tabs>
        <w:ind w:right="1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0,0037 га в Тюбкараганском районе.</w:t>
      </w:r>
      <w:r w:rsidRPr="00710CD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14:paraId="738DF09D" w14:textId="77777777" w:rsidR="00710CD9" w:rsidRPr="00710CD9" w:rsidRDefault="00710CD9" w:rsidP="00710CD9">
      <w:pPr>
        <w:widowControl w:val="0"/>
        <w:tabs>
          <w:tab w:val="left" w:pos="993"/>
        </w:tabs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АО</w:t>
      </w:r>
      <w:r w:rsidRPr="00710CD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«Озенмунайгаз»</w:t>
      </w:r>
      <w:r w:rsidRPr="00710CD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входят:</w:t>
      </w:r>
    </w:p>
    <w:p w14:paraId="2754B897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before="2"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Нефтегазодобывающее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№1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(НГДУ-1).</w:t>
      </w:r>
    </w:p>
    <w:p w14:paraId="783A2E93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Нефтегазодобывающее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№2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(НГДУ-2).</w:t>
      </w:r>
    </w:p>
    <w:p w14:paraId="6B19C6AB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Нефтегазодобывающее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№3</w:t>
      </w:r>
      <w:r w:rsidRPr="00710CD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(НГДУ-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3.</w:t>
      </w:r>
    </w:p>
    <w:p w14:paraId="56E78555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Нефтегазодобывающее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№4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(НГДУ-4).</w:t>
      </w:r>
    </w:p>
    <w:p w14:paraId="616A4162" w14:textId="77777777" w:rsidR="00710CD9" w:rsidRPr="00710CD9" w:rsidRDefault="00710CD9" w:rsidP="00710CD9">
      <w:pPr>
        <w:widowControl w:val="0"/>
        <w:numPr>
          <w:ilvl w:val="0"/>
          <w:numId w:val="3"/>
        </w:numPr>
        <w:tabs>
          <w:tab w:val="left" w:pos="993"/>
          <w:tab w:val="left" w:pos="1825"/>
          <w:tab w:val="left" w:pos="1826"/>
        </w:tabs>
        <w:spacing w:before="2" w:after="0" w:line="293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химизации</w:t>
      </w:r>
      <w:r w:rsidRPr="00710CD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экологии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(УХЭ).</w:t>
      </w:r>
    </w:p>
    <w:p w14:paraId="287C8C79" w14:textId="77777777" w:rsidR="00710CD9" w:rsidRPr="00710CD9" w:rsidRDefault="00710CD9" w:rsidP="00710CD9">
      <w:pPr>
        <w:widowControl w:val="0"/>
        <w:tabs>
          <w:tab w:val="left" w:pos="993"/>
        </w:tabs>
        <w:spacing w:line="274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Временной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режим</w:t>
      </w:r>
      <w:r w:rsidRPr="00710C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работы: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восьмичасовой,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710CD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сменам.</w:t>
      </w:r>
    </w:p>
    <w:p w14:paraId="4D25D1F3" w14:textId="11016B58" w:rsidR="00710CD9" w:rsidRPr="00710CD9" w:rsidRDefault="00710CD9" w:rsidP="00710CD9">
      <w:pPr>
        <w:widowControl w:val="0"/>
        <w:tabs>
          <w:tab w:val="left" w:pos="993"/>
        </w:tabs>
        <w:spacing w:line="274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Подрядные организации АО «Озенмунайгаз» следующие:</w:t>
      </w:r>
      <w:r w:rsidRPr="00710CD9">
        <w:rPr>
          <w:rFonts w:ascii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ТОО "Озенмунайсервис", ТОО "Бургылау", ТОО "ККС", ТОО "МФС", ТОО "</w:t>
      </w:r>
      <w:r w:rsidR="00465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ПЭС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10C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65D3A" w:rsidRPr="00710CD9">
        <w:rPr>
          <w:rFonts w:ascii="Times New Roman" w:hAnsi="Times New Roman" w:cs="Times New Roman"/>
          <w:color w:val="000000"/>
          <w:sz w:val="28"/>
          <w:szCs w:val="28"/>
        </w:rPr>
        <w:t>ТОО "</w:t>
      </w:r>
      <w:r w:rsidR="00465D3A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ЖОС</w:t>
      </w:r>
      <w:r w:rsidR="00465D3A" w:rsidRPr="00710CD9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65D3A" w:rsidRPr="00710C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10CD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ТОО «</w:t>
      </w:r>
      <w:proofErr w:type="spellStart"/>
      <w:r w:rsidRPr="00710CD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Берали</w:t>
      </w:r>
      <w:proofErr w:type="spellEnd"/>
      <w:r w:rsidRPr="00710CD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F448DE" w14:textId="77777777" w:rsidR="00710CD9" w:rsidRPr="00710CD9" w:rsidRDefault="00710CD9" w:rsidP="00710CD9">
      <w:pPr>
        <w:widowControl w:val="0"/>
        <w:tabs>
          <w:tab w:val="left" w:pos="993"/>
        </w:tabs>
        <w:spacing w:line="274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C9C5493" w14:textId="77777777" w:rsidR="00710CD9" w:rsidRPr="00710CD9" w:rsidRDefault="00710CD9" w:rsidP="00710CD9">
      <w:pPr>
        <w:kinsoku w:val="0"/>
        <w:overflowPunct w:val="0"/>
        <w:snapToGrid w:val="0"/>
        <w:ind w:left="2" w:firstLine="70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0CD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0C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района размещения предприятия</w:t>
      </w:r>
    </w:p>
    <w:p w14:paraId="546562C5" w14:textId="77777777" w:rsidR="00710CD9" w:rsidRPr="00710CD9" w:rsidRDefault="00710CD9" w:rsidP="00710CD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Месторождения расположены в Мангистауской области Республики Казахстан и представляет собой слабовсхолмленную поверхность, отметки которой изменяются от 270 до 315 м. Его западная граница определяется береговой линией Каспийского моря. В южном и западном направлениях отмечаются бессточные впадины, глубина которых достигает значительных размеров.</w:t>
      </w:r>
    </w:p>
    <w:p w14:paraId="508AF176" w14:textId="77777777" w:rsidR="00710CD9" w:rsidRPr="00710CD9" w:rsidRDefault="00710CD9" w:rsidP="00710CD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На рассматриваемой территории отсутствуют особо охраняемые природные территории местного, республиканского значения.</w:t>
      </w:r>
    </w:p>
    <w:p w14:paraId="7D5E2A29" w14:textId="77777777" w:rsidR="00710CD9" w:rsidRPr="00710CD9" w:rsidRDefault="00710CD9" w:rsidP="00710CD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CD9">
        <w:rPr>
          <w:rFonts w:ascii="Times New Roman" w:hAnsi="Times New Roman" w:cs="Times New Roman"/>
          <w:color w:val="000000"/>
          <w:sz w:val="28"/>
          <w:szCs w:val="28"/>
        </w:rPr>
        <w:t>Карта-схема месторождений Узень и Карамандыбас и прилегающих территорий представлена на рисунке 1.</w:t>
      </w:r>
    </w:p>
    <w:p w14:paraId="20844F1F" w14:textId="77777777" w:rsidR="00710CD9" w:rsidRPr="008A26C4" w:rsidRDefault="00710CD9" w:rsidP="00710CD9">
      <w:pPr>
        <w:rPr>
          <w:color w:val="000000"/>
        </w:rPr>
      </w:pPr>
    </w:p>
    <w:p w14:paraId="0EDC2537" w14:textId="5CBF3EE2" w:rsidR="00710CD9" w:rsidRPr="008A26C4" w:rsidRDefault="00710CD9" w:rsidP="00710CD9">
      <w:pPr>
        <w:ind w:left="1211"/>
        <w:rPr>
          <w:b/>
          <w:bCs/>
          <w:color w:val="000000"/>
        </w:rPr>
      </w:pPr>
      <w:r w:rsidRPr="008A26C4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9461143" wp14:editId="27E420D9">
            <wp:simplePos x="0" y="0"/>
            <wp:positionH relativeFrom="column">
              <wp:posOffset>-45085</wp:posOffset>
            </wp:positionH>
            <wp:positionV relativeFrom="paragraph">
              <wp:posOffset>63500</wp:posOffset>
            </wp:positionV>
            <wp:extent cx="5940425" cy="4686300"/>
            <wp:effectExtent l="0" t="0" r="3175" b="0"/>
            <wp:wrapThrough wrapText="bothSides">
              <wp:wrapPolygon edited="0">
                <wp:start x="0" y="0"/>
                <wp:lineTo x="0" y="21512"/>
                <wp:lineTo x="21542" y="21512"/>
                <wp:lineTo x="21542" y="0"/>
                <wp:lineTo x="0" y="0"/>
              </wp:wrapPolygon>
            </wp:wrapThrough>
            <wp:docPr id="19030471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7D636" w14:textId="4EE14051" w:rsidR="004E5502" w:rsidRPr="00710CD9" w:rsidRDefault="004E5502" w:rsidP="00710CD9">
      <w:pPr>
        <w:jc w:val="both"/>
        <w:rPr>
          <w:rFonts w:ascii="Times New Roman" w:hAnsi="Times New Roman" w:cs="Times New Roman"/>
          <w:sz w:val="28"/>
          <w:szCs w:val="28"/>
        </w:rPr>
      </w:pPr>
      <w:r w:rsidRPr="00710CD9">
        <w:rPr>
          <w:rFonts w:ascii="Times New Roman" w:hAnsi="Times New Roman" w:cs="Times New Roman"/>
          <w:sz w:val="28"/>
          <w:szCs w:val="28"/>
        </w:rPr>
        <w:t xml:space="preserve">Целью проекта является – разработка в соответствии с действующими нормативными требованиями с установлением нормативов допустимых выбросов от источников загрязнения АО «Озенмунайгаз» с учетом </w:t>
      </w:r>
      <w:r w:rsidR="00710CD9" w:rsidRPr="00710CD9">
        <w:rPr>
          <w:rFonts w:ascii="Times New Roman" w:hAnsi="Times New Roman" w:cs="Times New Roman"/>
          <w:sz w:val="28"/>
          <w:szCs w:val="28"/>
        </w:rPr>
        <w:t>добавление новых источник ЗВ нормативов выбросов новые источники были добавлены на основании п.6 ст.12  Кодекса РК.</w:t>
      </w:r>
      <w:r w:rsidR="00710CD9" w:rsidRPr="00710CD9">
        <w:rPr>
          <w:rFonts w:ascii="Times New Roman" w:hAnsi="Times New Roman" w:cs="Times New Roman"/>
          <w:sz w:val="28"/>
          <w:szCs w:val="28"/>
          <w:lang w:val="ru-RU"/>
        </w:rPr>
        <w:t xml:space="preserve"> Согласно РООС включены выбросы при эксплуатации и </w:t>
      </w:r>
      <w:r w:rsidR="00710CD9" w:rsidRPr="00710CD9">
        <w:rPr>
          <w:rFonts w:ascii="Times New Roman" w:hAnsi="Times New Roman" w:cs="Times New Roman"/>
          <w:sz w:val="28"/>
          <w:szCs w:val="28"/>
        </w:rPr>
        <w:t xml:space="preserve"> отходов</w:t>
      </w:r>
      <w:r w:rsidR="006725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0CD9">
        <w:rPr>
          <w:rFonts w:ascii="Times New Roman" w:hAnsi="Times New Roman" w:cs="Times New Roman"/>
          <w:sz w:val="28"/>
          <w:szCs w:val="28"/>
        </w:rPr>
        <w:t>по рабочим проектам</w:t>
      </w:r>
    </w:p>
    <w:p w14:paraId="2328F7BC" w14:textId="77777777" w:rsidR="003823CD" w:rsidRPr="003823CD" w:rsidRDefault="003823CD" w:rsidP="003823CD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В Компании сложилась определенная система сбора, накопления, хранения и вывоза отходов. Принципиально эта система обеспечивает охрану окружающей среды. Отходы, образующиеся при нормальном режиме работы, из-за их незначительного и постепенного накопления, сразу не вывозятся в места их утилизации, а собираются в специальные контейнеры и хранятся на отведенных для этих целей площадках.</w:t>
      </w:r>
    </w:p>
    <w:p w14:paraId="75B4A303" w14:textId="77777777" w:rsidR="003823CD" w:rsidRPr="003823CD" w:rsidRDefault="003823CD" w:rsidP="003823CD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Положительные аспекты существующей системы управления отходами АО «Озенмунайгаз»:</w:t>
      </w:r>
    </w:p>
    <w:p w14:paraId="2DDEA161" w14:textId="77777777" w:rsidR="003823CD" w:rsidRPr="003823CD" w:rsidRDefault="003823CD" w:rsidP="003823C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На всех производственных объектах ведется учет образующихся отходов.</w:t>
      </w:r>
    </w:p>
    <w:p w14:paraId="50E1C04F" w14:textId="77777777" w:rsidR="003823CD" w:rsidRPr="003823CD" w:rsidRDefault="003823CD" w:rsidP="003823C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Сбор и/или накопление отходов на производственных объектах осуществляется согласно нормативным документам Республики Казахстан. Для сбора отходов имеются специально оборудованная площадка.</w:t>
      </w:r>
    </w:p>
    <w:p w14:paraId="7F9B67C5" w14:textId="77777777" w:rsidR="003823CD" w:rsidRPr="003823CD" w:rsidRDefault="003823CD" w:rsidP="003823C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Осуществляется паспортизация образующихся отходов с привлечением специализированных организаций.</w:t>
      </w:r>
    </w:p>
    <w:p w14:paraId="07E8DEF1" w14:textId="77777777" w:rsidR="003823CD" w:rsidRPr="003823CD" w:rsidRDefault="003823CD" w:rsidP="003823C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Осуществляется частичная сортировка отходов.</w:t>
      </w:r>
    </w:p>
    <w:p w14:paraId="0BBD6619" w14:textId="77777777" w:rsidR="003823CD" w:rsidRPr="003823CD" w:rsidRDefault="003823CD" w:rsidP="003823C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Транспортирование отходов осуществляют специализированные организации, которые имеют все необходимые разрешительные документы на занятие данным видом деятельности, а также автотранспорт и персонал.</w:t>
      </w:r>
    </w:p>
    <w:p w14:paraId="7C027670" w14:textId="77777777" w:rsidR="003823CD" w:rsidRPr="003823CD" w:rsidRDefault="003823CD" w:rsidP="003823C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Удаление остальной части отходов осуществляется на специализированные предприятия, занимающиеся утилизацией и переработкой отходов.</w:t>
      </w:r>
    </w:p>
    <w:p w14:paraId="0586B115" w14:textId="77777777" w:rsidR="003823CD" w:rsidRPr="003823CD" w:rsidRDefault="003823CD" w:rsidP="003823CD">
      <w:pPr>
        <w:pStyle w:val="a5"/>
        <w:spacing w:before="12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2683A6D" w14:textId="77777777" w:rsidR="003823CD" w:rsidRPr="003823CD" w:rsidRDefault="003823CD" w:rsidP="003823CD">
      <w:pPr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Производственный мониторинг окружающей среды представляет собой комплекс организационно технических мероприятий по выявлению фактического загрязнения окружающей среды в результате деятельности предприятия.</w:t>
      </w:r>
    </w:p>
    <w:p w14:paraId="33963CA4" w14:textId="77777777" w:rsidR="003823CD" w:rsidRPr="003823CD" w:rsidRDefault="003823CD" w:rsidP="003823CD">
      <w:pPr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Анализ производственной деятельности предприятия и прогнозирование условий загрязнения позволяет определить:</w:t>
      </w:r>
    </w:p>
    <w:p w14:paraId="25A13FA3" w14:textId="77777777" w:rsidR="003823CD" w:rsidRPr="003823CD" w:rsidRDefault="003823CD" w:rsidP="003823CD">
      <w:pPr>
        <w:pStyle w:val="a5"/>
        <w:numPr>
          <w:ilvl w:val="0"/>
          <w:numId w:val="5"/>
        </w:numPr>
        <w:tabs>
          <w:tab w:val="left" w:pos="851"/>
        </w:tabs>
        <w:ind w:left="0" w:firstLine="68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823C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Перечень компонентов окружающей среды, которые подлежат мониторинговым наблюдениям;</w:t>
      </w:r>
    </w:p>
    <w:p w14:paraId="361324CF" w14:textId="77777777" w:rsidR="003823CD" w:rsidRPr="003823CD" w:rsidRDefault="003823CD" w:rsidP="003823CD">
      <w:pPr>
        <w:pStyle w:val="a5"/>
        <w:numPr>
          <w:ilvl w:val="0"/>
          <w:numId w:val="5"/>
        </w:numPr>
        <w:tabs>
          <w:tab w:val="left" w:pos="851"/>
        </w:tabs>
        <w:ind w:left="0" w:firstLine="68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823C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Точки и посты наблюдений за компонентами окружающей среды;</w:t>
      </w:r>
    </w:p>
    <w:p w14:paraId="1777F5D0" w14:textId="77777777" w:rsidR="003823CD" w:rsidRPr="003823CD" w:rsidRDefault="003823CD" w:rsidP="003823CD">
      <w:pPr>
        <w:pStyle w:val="a5"/>
        <w:numPr>
          <w:ilvl w:val="0"/>
          <w:numId w:val="5"/>
        </w:numPr>
        <w:tabs>
          <w:tab w:val="left" w:pos="851"/>
        </w:tabs>
        <w:ind w:left="0" w:firstLine="68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823C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Контролируемые показатели, характеризующие состояние компонентов окружающей среды;</w:t>
      </w:r>
    </w:p>
    <w:p w14:paraId="701DF384" w14:textId="77777777" w:rsidR="003823CD" w:rsidRPr="003823CD" w:rsidRDefault="003823CD" w:rsidP="003823CD">
      <w:pPr>
        <w:pStyle w:val="a5"/>
        <w:numPr>
          <w:ilvl w:val="0"/>
          <w:numId w:val="5"/>
        </w:numPr>
        <w:tabs>
          <w:tab w:val="left" w:pos="851"/>
        </w:tabs>
        <w:ind w:left="0" w:firstLine="68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823C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Периодичность мониторинговых наблюдений;</w:t>
      </w:r>
    </w:p>
    <w:p w14:paraId="48140FAE" w14:textId="77777777" w:rsidR="003823CD" w:rsidRPr="003823CD" w:rsidRDefault="003823CD" w:rsidP="003823CD">
      <w:pPr>
        <w:pStyle w:val="a5"/>
        <w:numPr>
          <w:ilvl w:val="0"/>
          <w:numId w:val="5"/>
        </w:numPr>
        <w:tabs>
          <w:tab w:val="left" w:pos="851"/>
        </w:tabs>
        <w:ind w:left="0" w:firstLine="68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823C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Порядок функционирования системы производственного мониторинга.</w:t>
      </w:r>
    </w:p>
    <w:p w14:paraId="44AA6273" w14:textId="77777777" w:rsidR="003823CD" w:rsidRPr="003823CD" w:rsidRDefault="003823CD" w:rsidP="00382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Периодичность наблюдения за загрязнения атмосферного воздуха на источниках загрязнения на печах подогрева и дизельного генератора проводиться на организованных источниках, где имеется пробоотборники  1 раз в квартал  инструментальным методом аккредитованный лаборатории на следующие параметры Азота  диоксид, Азот  оксид Углерод(Сажа) Сера диоксид, углерод оксид.</w:t>
      </w:r>
    </w:p>
    <w:p w14:paraId="578FA041" w14:textId="77777777" w:rsidR="003823CD" w:rsidRPr="003823CD" w:rsidRDefault="003823CD" w:rsidP="00382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А также на границе СЗЗ определяемый параметры Сажа, оксид углерода, диоксид серы,</w:t>
      </w:r>
    </w:p>
    <w:p w14:paraId="3C03CC95" w14:textId="77777777" w:rsidR="003823CD" w:rsidRPr="003823CD" w:rsidRDefault="003823CD" w:rsidP="00382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диоксид азота, углеводороды С1-С12, метилмеркаптаны.</w:t>
      </w:r>
    </w:p>
    <w:p w14:paraId="78CC4A57" w14:textId="77777777" w:rsidR="003823CD" w:rsidRPr="003823CD" w:rsidRDefault="003823CD" w:rsidP="003823C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823CD">
        <w:rPr>
          <w:rFonts w:ascii="Times New Roman" w:hAnsi="Times New Roman" w:cs="Times New Roman"/>
          <w:sz w:val="28"/>
          <w:szCs w:val="28"/>
        </w:rPr>
        <w:t>Мониторинг воздействия за состоянием почв Мониторинг почвенного покрова проводится 1 раз в полугодие Пробы отбираются на определение тяжелых металлов и  нефтепродукты.</w:t>
      </w:r>
    </w:p>
    <w:p w14:paraId="0732CE4D" w14:textId="36209E5E" w:rsidR="00012EFA" w:rsidRPr="003823CD" w:rsidRDefault="00012EF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12EFA" w:rsidRPr="0038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C"/>
    <w:multiLevelType w:val="multilevel"/>
    <w:tmpl w:val="419421E8"/>
    <w:styleLink w:val="1213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EA45B98"/>
    <w:multiLevelType w:val="hybridMultilevel"/>
    <w:tmpl w:val="4E8E172C"/>
    <w:lvl w:ilvl="0" w:tplc="57C46356">
      <w:numFmt w:val="bullet"/>
      <w:lvlText w:val=""/>
      <w:lvlJc w:val="left"/>
      <w:pPr>
        <w:ind w:left="1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12685C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2" w:tplc="FA02B604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5A7845FE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4" w:tplc="6E74EDCA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110410C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61EE5966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291804AE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C8A6FC40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00B2432"/>
    <w:multiLevelType w:val="hybridMultilevel"/>
    <w:tmpl w:val="72F6C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BA1418C"/>
    <w:multiLevelType w:val="hybridMultilevel"/>
    <w:tmpl w:val="90B8647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133D9B"/>
    <w:multiLevelType w:val="hybridMultilevel"/>
    <w:tmpl w:val="38243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39753651">
    <w:abstractNumId w:val="2"/>
  </w:num>
  <w:num w:numId="2" w16cid:durableId="1635254402">
    <w:abstractNumId w:val="0"/>
  </w:num>
  <w:num w:numId="3" w16cid:durableId="1670211317">
    <w:abstractNumId w:val="1"/>
  </w:num>
  <w:num w:numId="4" w16cid:durableId="1873223958">
    <w:abstractNumId w:val="4"/>
  </w:num>
  <w:num w:numId="5" w16cid:durableId="329793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E1"/>
    <w:rsid w:val="00012EFA"/>
    <w:rsid w:val="002066E1"/>
    <w:rsid w:val="003023A4"/>
    <w:rsid w:val="003823CD"/>
    <w:rsid w:val="00465D3A"/>
    <w:rsid w:val="00477B76"/>
    <w:rsid w:val="004E5502"/>
    <w:rsid w:val="00672500"/>
    <w:rsid w:val="00710CD9"/>
    <w:rsid w:val="00974264"/>
    <w:rsid w:val="00A60D3A"/>
    <w:rsid w:val="00B366C0"/>
    <w:rsid w:val="00C1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10CB"/>
  <w15:chartTrackingRefBased/>
  <w15:docId w15:val="{7066D0A9-A138-41CF-882A-1A321FB2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E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a3">
    <w:name w:val="текст"/>
    <w:basedOn w:val="a"/>
    <w:link w:val="a4"/>
    <w:rsid w:val="004E55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4">
    <w:name w:val="текст Знак"/>
    <w:link w:val="a3"/>
    <w:rsid w:val="004E550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List Paragraph"/>
    <w:aliases w:val="_список,маркированный,Nawa Bullets,CAFC Bullets,Beran Bullets,Bullet Points"/>
    <w:basedOn w:val="a"/>
    <w:link w:val="a6"/>
    <w:uiPriority w:val="1"/>
    <w:qFormat/>
    <w:rsid w:val="004E5502"/>
    <w:pPr>
      <w:spacing w:after="0" w:line="240" w:lineRule="auto"/>
      <w:ind w:left="720"/>
      <w:contextualSpacing/>
    </w:pPr>
    <w:rPr>
      <w:rFonts w:ascii="Calibri" w:hAnsi="Calibri" w:cs="Calibri"/>
      <w:kern w:val="0"/>
      <w:lang w:val="ru-RU"/>
      <w14:ligatures w14:val="none"/>
    </w:rPr>
  </w:style>
  <w:style w:type="numbering" w:customStyle="1" w:styleId="1213">
    <w:name w:val="Стиль нумерованный 12 пт13"/>
    <w:rsid w:val="00710CD9"/>
    <w:pPr>
      <w:numPr>
        <w:numId w:val="2"/>
      </w:numPr>
    </w:pPr>
  </w:style>
  <w:style w:type="character" w:customStyle="1" w:styleId="a6">
    <w:name w:val="Абзац списка Знак"/>
    <w:aliases w:val="_список Знак,маркированный Знак,Nawa Bullets Знак,CAFC Bullets Знак,Beran Bullets Знак,Bullet Points Знак"/>
    <w:link w:val="a5"/>
    <w:uiPriority w:val="34"/>
    <w:locked/>
    <w:rsid w:val="003823CD"/>
    <w:rPr>
      <w:rFonts w:ascii="Calibri" w:hAnsi="Calibri" w:cs="Calibri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Женисгуль Мустафина</dc:creator>
  <cp:keywords/>
  <dc:description/>
  <cp:lastModifiedBy>Женисгуль Мустафина</cp:lastModifiedBy>
  <cp:revision>8</cp:revision>
  <dcterms:created xsi:type="dcterms:W3CDTF">2024-10-11T15:53:00Z</dcterms:created>
  <dcterms:modified xsi:type="dcterms:W3CDTF">2026-05-15T06:38:00Z</dcterms:modified>
</cp:coreProperties>
</file>