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06E1" w14:textId="77777777" w:rsidR="00236F42" w:rsidRPr="00236F42" w:rsidRDefault="00236F42" w:rsidP="00236F42">
      <w:pPr>
        <w:widowControl w:val="0"/>
        <w:autoSpaceDE w:val="0"/>
        <w:autoSpaceDN w:val="0"/>
        <w:spacing w:before="70" w:after="0" w:line="240" w:lineRule="auto"/>
        <w:ind w:left="3692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  <w14:ligatures w14:val="none"/>
        </w:rPr>
        <w:t>Нетехническое</w:t>
      </w:r>
      <w:r w:rsidRPr="00236F42"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  <w14:ligatures w14:val="none"/>
        </w:rPr>
        <w:t>резюме</w:t>
      </w:r>
    </w:p>
    <w:p w14:paraId="54B8B90F" w14:textId="77777777" w:rsidR="00236F42" w:rsidRPr="00236F42" w:rsidRDefault="00236F42" w:rsidP="00236F42">
      <w:pPr>
        <w:autoSpaceDE w:val="0"/>
        <w:autoSpaceDN w:val="0"/>
        <w:adjustRightInd w:val="0"/>
        <w:spacing w:before="34" w:after="0" w:line="331" w:lineRule="exac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Отчет о возможных воздействиях разработан для проекта План горных работ на добычу строительного камня на месторождении «</w:t>
      </w:r>
      <w:proofErr w:type="spellStart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Тасболат</w:t>
      </w:r>
      <w:proofErr w:type="spellEnd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», расположенного в Абайском районе области Абай.</w:t>
      </w:r>
    </w:p>
    <w:p w14:paraId="4DA04DB0" w14:textId="77777777" w:rsidR="00236F42" w:rsidRPr="00236F42" w:rsidRDefault="00236F42" w:rsidP="00236F42">
      <w:pPr>
        <w:autoSpaceDE w:val="0"/>
        <w:autoSpaceDN w:val="0"/>
        <w:adjustRightInd w:val="0"/>
        <w:spacing w:before="34" w:after="0" w:line="331" w:lineRule="exac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Основанием разработки проекта послужило «Заключение об определении сферы охвата оценки воздействия на окружающую среду и (или) скрининга воздействий намечаемой деятельности» №KZ34VWF00556811 от 27.04.2026 г. выданное для предприятия, РГУ «Департаментом экологии по области Абай» (Приложение 1). </w:t>
      </w:r>
    </w:p>
    <w:p w14:paraId="19D13F98" w14:textId="77777777" w:rsidR="00236F42" w:rsidRPr="00236F42" w:rsidRDefault="00236F42" w:rsidP="00236F42">
      <w:pPr>
        <w:autoSpaceDE w:val="0"/>
        <w:autoSpaceDN w:val="0"/>
        <w:adjustRightInd w:val="0"/>
        <w:spacing w:before="34" w:after="0" w:line="331" w:lineRule="exac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Инженерное обеспечение объекта: Связи с малым объемом работ, проведение и обеспечение электроснабжением участок работ не планируется. Также все работы будут проводиться в светло время суток. Хозяйственно-питьевое водоснабжение привозные из с. </w:t>
      </w:r>
      <w:proofErr w:type="spellStart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Карауыл</w:t>
      </w:r>
      <w:proofErr w:type="spellEnd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 Канализация на месторождение надворные уборные (биотуалеты).</w:t>
      </w:r>
    </w:p>
    <w:p w14:paraId="0B8157DB" w14:textId="77777777" w:rsidR="00236F42" w:rsidRPr="00236F42" w:rsidRDefault="00236F42" w:rsidP="00236F42">
      <w:pPr>
        <w:autoSpaceDE w:val="0"/>
        <w:autoSpaceDN w:val="0"/>
        <w:adjustRightInd w:val="0"/>
        <w:spacing w:before="34" w:after="0" w:line="331" w:lineRule="exac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Наблюдения за фоновыми концентрациями загрязняющих веществ в атмосферном воздухе района расположения площадки участка не ведется, в связи с отсутствием стационарного поста по измерению фоновых концентраций загрязняющих веществ в атмосферном воздухе (приложение 2).</w:t>
      </w:r>
    </w:p>
    <w:p w14:paraId="7C14116C" w14:textId="77777777" w:rsidR="00236F42" w:rsidRPr="00236F42" w:rsidRDefault="00236F42" w:rsidP="00236F42">
      <w:pPr>
        <w:autoSpaceDE w:val="0"/>
        <w:autoSpaceDN w:val="0"/>
        <w:adjustRightInd w:val="0"/>
        <w:spacing w:before="34" w:after="0" w:line="331" w:lineRule="exac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 непосредственной близости от месторождение археологические ценности, а также особо охраняемые и ценные природные комплексы (заповедники, заказники, памятники природы) отсутствуют.</w:t>
      </w:r>
    </w:p>
    <w:p w14:paraId="28ED4429" w14:textId="77777777" w:rsidR="00236F42" w:rsidRPr="00236F42" w:rsidRDefault="00236F42" w:rsidP="00236F42">
      <w:pPr>
        <w:autoSpaceDE w:val="0"/>
        <w:autoSpaceDN w:val="0"/>
        <w:adjustRightInd w:val="0"/>
        <w:spacing w:before="34" w:after="0" w:line="331" w:lineRule="exact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Краткая характеристика технологии производства и оборудования с точки зрения загрязнения атмосферы</w:t>
      </w:r>
    </w:p>
    <w:p w14:paraId="315CB056" w14:textId="77777777" w:rsidR="00236F42" w:rsidRPr="00236F42" w:rsidRDefault="00236F42" w:rsidP="00236F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Подсчет запасов на месторождении «</w:t>
      </w:r>
      <w:proofErr w:type="spellStart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Тасболат</w:t>
      </w:r>
      <w:proofErr w:type="spellEnd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» выполнен в контурах естественных границ залежи строительного камня, по линиям, проходящим через разведочные выработки, по которым получены физико-механические показатели для оценки запасов. Степень разведанности месторождения позволила произвести подсчет балансовых запасов до глубины 20 м от дневной поверхности по категории С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vertAlign w:val="subscript"/>
          <w:lang w:val="ru-RU" w:eastAsia="ru-RU"/>
          <w14:ligatures w14:val="none"/>
        </w:rPr>
        <w:t>1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объеме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672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,0 тыс. м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ru-RU" w:eastAsia="ru-RU"/>
          <w14:ligatures w14:val="none"/>
        </w:rPr>
        <w:t>3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4BE5AC1B" w14:textId="77777777" w:rsidR="00236F42" w:rsidRPr="00236F42" w:rsidRDefault="00236F42" w:rsidP="00236F42">
      <w:pPr>
        <w:shd w:val="clear" w:color="auto" w:fill="FFFFFF"/>
        <w:autoSpaceDE w:val="0"/>
        <w:autoSpaceDN w:val="0"/>
        <w:adjustRightInd w:val="0"/>
        <w:spacing w:after="0" w:line="331" w:lineRule="exac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Календарный график горных работ</w:t>
      </w:r>
    </w:p>
    <w:p w14:paraId="450871FB" w14:textId="77777777" w:rsidR="00236F42" w:rsidRPr="00236F42" w:rsidRDefault="00236F42" w:rsidP="00236F42">
      <w:pPr>
        <w:shd w:val="clear" w:color="auto" w:fill="FFFFFF"/>
        <w:spacing w:after="10" w:line="1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7"/>
        <w:gridCol w:w="3859"/>
        <w:gridCol w:w="3260"/>
      </w:tblGrid>
      <w:tr w:rsidR="00236F42" w:rsidRPr="00236F42" w14:paraId="18301789" w14:textId="77777777" w:rsidTr="00D8427C">
        <w:tc>
          <w:tcPr>
            <w:tcW w:w="2237" w:type="dxa"/>
          </w:tcPr>
          <w:p w14:paraId="700992C8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Год</w:t>
            </w:r>
          </w:p>
        </w:tc>
        <w:tc>
          <w:tcPr>
            <w:tcW w:w="3859" w:type="dxa"/>
          </w:tcPr>
          <w:p w14:paraId="3A50F260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Добыча</w:t>
            </w:r>
            <w:r w:rsidRPr="00236F4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, (в среднем) </w:t>
            </w: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тыс. м</w:t>
            </w: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3260" w:type="dxa"/>
          </w:tcPr>
          <w:p w14:paraId="4E6F201F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Вскрыша, тыс. м</w:t>
            </w: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ru-RU" w:eastAsia="ru-RU"/>
                <w14:ligatures w14:val="none"/>
              </w:rPr>
              <w:t>3</w:t>
            </w:r>
          </w:p>
        </w:tc>
      </w:tr>
      <w:tr w:rsidR="00236F42" w:rsidRPr="00236F42" w14:paraId="7EEC30A7" w14:textId="77777777" w:rsidTr="00D8427C">
        <w:tc>
          <w:tcPr>
            <w:tcW w:w="2237" w:type="dxa"/>
          </w:tcPr>
          <w:p w14:paraId="0803A72F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2026</w:t>
            </w:r>
          </w:p>
        </w:tc>
        <w:tc>
          <w:tcPr>
            <w:tcW w:w="3859" w:type="dxa"/>
          </w:tcPr>
          <w:p w14:paraId="0F316356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5-50 </w:t>
            </w:r>
          </w:p>
        </w:tc>
        <w:tc>
          <w:tcPr>
            <w:tcW w:w="3260" w:type="dxa"/>
          </w:tcPr>
          <w:p w14:paraId="74BC82A0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1,1</w:t>
            </w:r>
          </w:p>
        </w:tc>
      </w:tr>
      <w:tr w:rsidR="00236F42" w:rsidRPr="00236F42" w14:paraId="0CCEA4A5" w14:textId="77777777" w:rsidTr="00D8427C">
        <w:tc>
          <w:tcPr>
            <w:tcW w:w="2237" w:type="dxa"/>
          </w:tcPr>
          <w:p w14:paraId="461372AD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2027</w:t>
            </w:r>
          </w:p>
        </w:tc>
        <w:tc>
          <w:tcPr>
            <w:tcW w:w="3859" w:type="dxa"/>
          </w:tcPr>
          <w:p w14:paraId="732321FF" w14:textId="77777777" w:rsidR="00236F42" w:rsidRPr="00236F42" w:rsidRDefault="00236F42" w:rsidP="00236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5-50 </w:t>
            </w:r>
          </w:p>
        </w:tc>
        <w:tc>
          <w:tcPr>
            <w:tcW w:w="3260" w:type="dxa"/>
          </w:tcPr>
          <w:p w14:paraId="25DC3AF6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1,1</w:t>
            </w:r>
          </w:p>
        </w:tc>
      </w:tr>
      <w:tr w:rsidR="00236F42" w:rsidRPr="00236F42" w14:paraId="5EA339C5" w14:textId="77777777" w:rsidTr="00D8427C">
        <w:tc>
          <w:tcPr>
            <w:tcW w:w="2237" w:type="dxa"/>
          </w:tcPr>
          <w:p w14:paraId="6E8F0709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2028</w:t>
            </w:r>
          </w:p>
        </w:tc>
        <w:tc>
          <w:tcPr>
            <w:tcW w:w="3859" w:type="dxa"/>
          </w:tcPr>
          <w:p w14:paraId="000DCDD9" w14:textId="77777777" w:rsidR="00236F42" w:rsidRPr="00236F42" w:rsidRDefault="00236F42" w:rsidP="00236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5-50 </w:t>
            </w:r>
          </w:p>
        </w:tc>
        <w:tc>
          <w:tcPr>
            <w:tcW w:w="3260" w:type="dxa"/>
          </w:tcPr>
          <w:p w14:paraId="2C9EAEC3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1,1</w:t>
            </w:r>
          </w:p>
        </w:tc>
      </w:tr>
      <w:tr w:rsidR="00236F42" w:rsidRPr="00236F42" w14:paraId="03DA413B" w14:textId="77777777" w:rsidTr="00D8427C">
        <w:tc>
          <w:tcPr>
            <w:tcW w:w="2237" w:type="dxa"/>
          </w:tcPr>
          <w:p w14:paraId="36EC1442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2029</w:t>
            </w:r>
          </w:p>
        </w:tc>
        <w:tc>
          <w:tcPr>
            <w:tcW w:w="3859" w:type="dxa"/>
          </w:tcPr>
          <w:p w14:paraId="19D1EBB7" w14:textId="77777777" w:rsidR="00236F42" w:rsidRPr="00236F42" w:rsidRDefault="00236F42" w:rsidP="00236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5-50 </w:t>
            </w:r>
          </w:p>
        </w:tc>
        <w:tc>
          <w:tcPr>
            <w:tcW w:w="3260" w:type="dxa"/>
          </w:tcPr>
          <w:p w14:paraId="254C86C0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1,1</w:t>
            </w:r>
          </w:p>
        </w:tc>
      </w:tr>
      <w:tr w:rsidR="00236F42" w:rsidRPr="00236F42" w14:paraId="7B7A9816" w14:textId="77777777" w:rsidTr="00D8427C">
        <w:tc>
          <w:tcPr>
            <w:tcW w:w="2237" w:type="dxa"/>
          </w:tcPr>
          <w:p w14:paraId="670520DD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2030</w:t>
            </w:r>
          </w:p>
        </w:tc>
        <w:tc>
          <w:tcPr>
            <w:tcW w:w="3859" w:type="dxa"/>
          </w:tcPr>
          <w:p w14:paraId="4ACAB379" w14:textId="77777777" w:rsidR="00236F42" w:rsidRPr="00236F42" w:rsidRDefault="00236F42" w:rsidP="00236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5-50 </w:t>
            </w:r>
          </w:p>
        </w:tc>
        <w:tc>
          <w:tcPr>
            <w:tcW w:w="3260" w:type="dxa"/>
          </w:tcPr>
          <w:p w14:paraId="5D540617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1,1</w:t>
            </w:r>
          </w:p>
        </w:tc>
      </w:tr>
      <w:tr w:rsidR="00236F42" w:rsidRPr="00236F42" w14:paraId="08B245A4" w14:textId="77777777" w:rsidTr="00D8427C">
        <w:tc>
          <w:tcPr>
            <w:tcW w:w="2237" w:type="dxa"/>
          </w:tcPr>
          <w:p w14:paraId="29298E3D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2031</w:t>
            </w:r>
          </w:p>
        </w:tc>
        <w:tc>
          <w:tcPr>
            <w:tcW w:w="3859" w:type="dxa"/>
          </w:tcPr>
          <w:p w14:paraId="3A427295" w14:textId="77777777" w:rsidR="00236F42" w:rsidRPr="00236F42" w:rsidRDefault="00236F42" w:rsidP="00236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5-50 </w:t>
            </w:r>
          </w:p>
        </w:tc>
        <w:tc>
          <w:tcPr>
            <w:tcW w:w="3260" w:type="dxa"/>
          </w:tcPr>
          <w:p w14:paraId="22328F5A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1,1</w:t>
            </w:r>
          </w:p>
        </w:tc>
      </w:tr>
      <w:tr w:rsidR="00236F42" w:rsidRPr="00236F42" w14:paraId="6A6CB75B" w14:textId="77777777" w:rsidTr="00D8427C">
        <w:tc>
          <w:tcPr>
            <w:tcW w:w="2237" w:type="dxa"/>
          </w:tcPr>
          <w:p w14:paraId="3A26652B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2032</w:t>
            </w:r>
          </w:p>
        </w:tc>
        <w:tc>
          <w:tcPr>
            <w:tcW w:w="3859" w:type="dxa"/>
          </w:tcPr>
          <w:p w14:paraId="6E03EC20" w14:textId="77777777" w:rsidR="00236F42" w:rsidRPr="00236F42" w:rsidRDefault="00236F42" w:rsidP="00236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5-50 </w:t>
            </w:r>
          </w:p>
        </w:tc>
        <w:tc>
          <w:tcPr>
            <w:tcW w:w="3260" w:type="dxa"/>
          </w:tcPr>
          <w:p w14:paraId="278668BC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1,1</w:t>
            </w:r>
          </w:p>
        </w:tc>
      </w:tr>
      <w:tr w:rsidR="00236F42" w:rsidRPr="00236F42" w14:paraId="08F8EE1A" w14:textId="77777777" w:rsidTr="00D8427C">
        <w:tc>
          <w:tcPr>
            <w:tcW w:w="2237" w:type="dxa"/>
          </w:tcPr>
          <w:p w14:paraId="67C30DB3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2033</w:t>
            </w:r>
          </w:p>
        </w:tc>
        <w:tc>
          <w:tcPr>
            <w:tcW w:w="3859" w:type="dxa"/>
          </w:tcPr>
          <w:p w14:paraId="40F17E98" w14:textId="77777777" w:rsidR="00236F42" w:rsidRPr="00236F42" w:rsidRDefault="00236F42" w:rsidP="00236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5-50 </w:t>
            </w:r>
          </w:p>
        </w:tc>
        <w:tc>
          <w:tcPr>
            <w:tcW w:w="3260" w:type="dxa"/>
          </w:tcPr>
          <w:p w14:paraId="0B925CA5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1,1</w:t>
            </w:r>
          </w:p>
        </w:tc>
      </w:tr>
      <w:tr w:rsidR="00236F42" w:rsidRPr="00236F42" w14:paraId="23400DE6" w14:textId="77777777" w:rsidTr="00D8427C">
        <w:tc>
          <w:tcPr>
            <w:tcW w:w="2237" w:type="dxa"/>
          </w:tcPr>
          <w:p w14:paraId="50D30BD9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2034</w:t>
            </w:r>
          </w:p>
        </w:tc>
        <w:tc>
          <w:tcPr>
            <w:tcW w:w="3859" w:type="dxa"/>
          </w:tcPr>
          <w:p w14:paraId="4B7A6AB5" w14:textId="77777777" w:rsidR="00236F42" w:rsidRPr="00236F42" w:rsidRDefault="00236F42" w:rsidP="00236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5-50 </w:t>
            </w:r>
          </w:p>
        </w:tc>
        <w:tc>
          <w:tcPr>
            <w:tcW w:w="3260" w:type="dxa"/>
          </w:tcPr>
          <w:p w14:paraId="325C8AA8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1,1</w:t>
            </w:r>
          </w:p>
        </w:tc>
      </w:tr>
      <w:tr w:rsidR="00236F42" w:rsidRPr="00236F42" w14:paraId="595B68CA" w14:textId="77777777" w:rsidTr="00D8427C">
        <w:tc>
          <w:tcPr>
            <w:tcW w:w="2237" w:type="dxa"/>
          </w:tcPr>
          <w:p w14:paraId="6B61F33D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2035</w:t>
            </w:r>
          </w:p>
        </w:tc>
        <w:tc>
          <w:tcPr>
            <w:tcW w:w="3859" w:type="dxa"/>
          </w:tcPr>
          <w:p w14:paraId="27BD5E54" w14:textId="77777777" w:rsidR="00236F42" w:rsidRPr="00236F42" w:rsidRDefault="00236F42" w:rsidP="00236F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5-50 </w:t>
            </w:r>
          </w:p>
        </w:tc>
        <w:tc>
          <w:tcPr>
            <w:tcW w:w="3260" w:type="dxa"/>
          </w:tcPr>
          <w:p w14:paraId="26D87709" w14:textId="77777777" w:rsidR="00236F42" w:rsidRPr="00236F42" w:rsidRDefault="00236F42" w:rsidP="00236F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236F4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1,1</w:t>
            </w:r>
          </w:p>
        </w:tc>
      </w:tr>
    </w:tbl>
    <w:p w14:paraId="22CFE307" w14:textId="77777777" w:rsidR="00236F42" w:rsidRPr="00236F42" w:rsidRDefault="00236F42" w:rsidP="00236F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          Месторождение будет разрабатываться открытым способом - карьером, с рыхлением пород буровзрыв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softHyphen/>
        <w:t>ным способом и с применением экскаваторно-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lastRenderedPageBreak/>
        <w:t>автотранспортной системы. Раз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softHyphen/>
        <w:t xml:space="preserve">работка и погрузка полезного ископаемого будет выполняться одноковшовым экскаватором, транспортировка - самосвалами. </w:t>
      </w:r>
    </w:p>
    <w:p w14:paraId="1C454EA0" w14:textId="77777777" w:rsidR="00236F42" w:rsidRPr="00236F42" w:rsidRDefault="00236F42" w:rsidP="00236F42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Буровзрывные работы будут вести специализированными организациями, согласно договору. Договор на буровзрывные работы будет заключен после получения лицензии на добычу строительного камня на месторождении «</w:t>
      </w:r>
      <w:proofErr w:type="spellStart"/>
      <w:r w:rsidRPr="00236F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Тасболат</w:t>
      </w:r>
      <w:proofErr w:type="spellEnd"/>
      <w:r w:rsidRPr="00236F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», до начало добычных работ, так как специализированные организации заключают договор только после получения лицензии, прилагается гарантийное письмо.</w:t>
      </w:r>
    </w:p>
    <w:p w14:paraId="29E603C1" w14:textId="77777777" w:rsidR="00236F42" w:rsidRPr="00236F42" w:rsidRDefault="00236F42" w:rsidP="00236F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Выбор вида карьерного транспорта и оборудования произведен в соответствии с приня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  <w:t>той технологией отработки аналогичных участков, с годовыми (сезонными) объемами горных работ, рас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  <w:t xml:space="preserve">стоянием транспортировки и рельефом местности. На карьере будет использоваться оборудование: </w:t>
      </w:r>
    </w:p>
    <w:p w14:paraId="782ABC5B" w14:textId="77777777" w:rsidR="00236F42" w:rsidRPr="00236F42" w:rsidRDefault="00236F42" w:rsidP="00236F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бульдозер типа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SHANTUI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0"/>
          <w:lang w:val="en-US" w:eastAsia="ru-RU"/>
          <w14:ligatures w14:val="none"/>
        </w:rPr>
        <w:t>SD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-16 – 1 </w:t>
      </w:r>
      <w:proofErr w:type="spellStart"/>
      <w:r w:rsidRPr="00236F42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ед</w:t>
      </w:r>
      <w:proofErr w:type="spellEnd"/>
      <w:r w:rsidRPr="00236F42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;</w:t>
      </w:r>
    </w:p>
    <w:p w14:paraId="1A88E692" w14:textId="77777777" w:rsidR="00236F42" w:rsidRPr="00236F42" w:rsidRDefault="00236F42" w:rsidP="00236F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sz w:val="28"/>
          <w:szCs w:val="20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-для добычи и загрузки экскава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softHyphen/>
        <w:t>тор</w:t>
      </w:r>
      <w:r w:rsidRPr="00236F42">
        <w:rPr>
          <w:rFonts w:ascii="Times New Roman" w:eastAsia="Times New Roman" w:hAnsi="Times New Roman" w:cs="Times New Roman"/>
          <w:bCs/>
          <w:snapToGrid w:val="0"/>
          <w:kern w:val="0"/>
          <w:sz w:val="28"/>
          <w:szCs w:val="20"/>
          <w:lang w:val="ru-RU" w:eastAsia="ru-RU"/>
          <w14:ligatures w14:val="none"/>
        </w:rPr>
        <w:t xml:space="preserve"> типа </w:t>
      </w:r>
      <w:r w:rsidRPr="00236F42">
        <w:rPr>
          <w:rFonts w:ascii="Times New Roman" w:eastAsia="Times New Roman" w:hAnsi="Times New Roman" w:cs="Times New Roman"/>
          <w:bCs/>
          <w:snapToGrid w:val="0"/>
          <w:kern w:val="0"/>
          <w:sz w:val="28"/>
          <w:szCs w:val="20"/>
          <w:lang w:val="en-US" w:eastAsia="ru-RU"/>
          <w14:ligatures w14:val="none"/>
        </w:rPr>
        <w:t>Doosan</w:t>
      </w:r>
      <w:r w:rsidRPr="00236F42">
        <w:rPr>
          <w:rFonts w:ascii="Times New Roman" w:eastAsia="Times New Roman" w:hAnsi="Times New Roman" w:cs="Times New Roman"/>
          <w:bCs/>
          <w:snapToGrid w:val="0"/>
          <w:kern w:val="0"/>
          <w:sz w:val="28"/>
          <w:szCs w:val="20"/>
          <w:lang w:val="ru-RU" w:eastAsia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bCs/>
          <w:snapToGrid w:val="0"/>
          <w:kern w:val="0"/>
          <w:sz w:val="28"/>
          <w:szCs w:val="20"/>
          <w:lang w:val="en-US" w:eastAsia="ru-RU"/>
          <w14:ligatures w14:val="none"/>
        </w:rPr>
        <w:t>DH</w:t>
      </w:r>
      <w:r w:rsidRPr="00236F42">
        <w:rPr>
          <w:rFonts w:ascii="Times New Roman" w:eastAsia="Times New Roman" w:hAnsi="Times New Roman" w:cs="Times New Roman"/>
          <w:bCs/>
          <w:snapToGrid w:val="0"/>
          <w:kern w:val="0"/>
          <w:sz w:val="28"/>
          <w:szCs w:val="20"/>
          <w:lang w:val="ru-RU" w:eastAsia="ru-RU"/>
          <w14:ligatures w14:val="none"/>
        </w:rPr>
        <w:t xml:space="preserve"> 420 – основной 1 </w:t>
      </w:r>
      <w:proofErr w:type="spellStart"/>
      <w:r w:rsidRPr="00236F42">
        <w:rPr>
          <w:rFonts w:ascii="Times New Roman" w:eastAsia="Times New Roman" w:hAnsi="Times New Roman" w:cs="Times New Roman"/>
          <w:bCs/>
          <w:snapToGrid w:val="0"/>
          <w:kern w:val="0"/>
          <w:sz w:val="28"/>
          <w:szCs w:val="20"/>
          <w:lang w:val="ru-RU" w:eastAsia="ru-RU"/>
          <w14:ligatures w14:val="none"/>
        </w:rPr>
        <w:t>ед</w:t>
      </w:r>
      <w:proofErr w:type="spellEnd"/>
      <w:r w:rsidRPr="00236F42">
        <w:rPr>
          <w:rFonts w:ascii="Times New Roman" w:eastAsia="Times New Roman" w:hAnsi="Times New Roman" w:cs="Times New Roman"/>
          <w:bCs/>
          <w:snapToGrid w:val="0"/>
          <w:kern w:val="0"/>
          <w:sz w:val="28"/>
          <w:szCs w:val="20"/>
          <w:lang w:val="ru-RU" w:eastAsia="ru-RU"/>
          <w14:ligatures w14:val="none"/>
        </w:rPr>
        <w:t xml:space="preserve">; </w:t>
      </w:r>
    </w:p>
    <w:p w14:paraId="11023E17" w14:textId="77777777" w:rsidR="00236F42" w:rsidRPr="00236F42" w:rsidRDefault="00236F42" w:rsidP="00236F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-транспортировка осуществляется автосамосвалами типа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HOWO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ZZ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3327 – 4 ед.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ko-KR"/>
          <w14:ligatures w14:val="none"/>
        </w:rPr>
        <w:t xml:space="preserve">Ширина въездной траншеи принята из расчета двухполосного движения автотранспорта, для дорог Ш категории – </w:t>
      </w:r>
      <w:smartTag w:uri="urn:schemas-microsoft-com:office:smarttags" w:element="metricconverter">
        <w:smartTagPr>
          <w:attr w:name="ProductID" w:val="8,0 м"/>
        </w:smartTagPr>
        <w:r w:rsidRPr="00236F42">
          <w:rPr>
            <w:rFonts w:ascii="Times New Roman" w:eastAsia="Times New Roman" w:hAnsi="Times New Roman" w:cs="Times New Roman"/>
            <w:kern w:val="0"/>
            <w:sz w:val="28"/>
            <w:szCs w:val="28"/>
            <w:lang w:val="ru-RU" w:eastAsia="ko-KR"/>
            <w14:ligatures w14:val="none"/>
          </w:rPr>
          <w:t>8,0 м</w:t>
        </w:r>
      </w:smartTag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ko-KR"/>
          <w14:ligatures w14:val="none"/>
        </w:rPr>
        <w:t xml:space="preserve">, ширина обочин принята </w:t>
      </w:r>
      <w:smartTag w:uri="urn:schemas-microsoft-com:office:smarttags" w:element="metricconverter">
        <w:smartTagPr>
          <w:attr w:name="ProductID" w:val="1,5 м"/>
        </w:smartTagPr>
        <w:r w:rsidRPr="00236F42">
          <w:rPr>
            <w:rFonts w:ascii="Times New Roman" w:eastAsia="Times New Roman" w:hAnsi="Times New Roman" w:cs="Times New Roman"/>
            <w:kern w:val="0"/>
            <w:sz w:val="28"/>
            <w:szCs w:val="28"/>
            <w:lang w:val="ru-RU" w:eastAsia="ko-KR"/>
            <w14:ligatures w14:val="none"/>
          </w:rPr>
          <w:t>1,5 м</w:t>
        </w:r>
      </w:smartTag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ko-KR"/>
          <w14:ligatures w14:val="none"/>
        </w:rPr>
        <w:t xml:space="preserve">. Также предусмотрено устройство выравнивающего слоя проезжей части траншеи щебнем толщиной </w:t>
      </w:r>
      <w:smartTag w:uri="urn:schemas-microsoft-com:office:smarttags" w:element="metricconverter">
        <w:smartTagPr>
          <w:attr w:name="ProductID" w:val="0,2 м"/>
        </w:smartTagPr>
        <w:r w:rsidRPr="00236F42">
          <w:rPr>
            <w:rFonts w:ascii="Times New Roman" w:eastAsia="Times New Roman" w:hAnsi="Times New Roman" w:cs="Times New Roman"/>
            <w:kern w:val="0"/>
            <w:sz w:val="28"/>
            <w:szCs w:val="28"/>
            <w:lang w:val="ru-RU" w:eastAsia="ko-KR"/>
            <w14:ligatures w14:val="none"/>
          </w:rPr>
          <w:t>0,2 м</w:t>
        </w:r>
      </w:smartTag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ko-KR"/>
          <w14:ligatures w14:val="none"/>
        </w:rPr>
        <w:t>.</w:t>
      </w:r>
    </w:p>
    <w:p w14:paraId="1E14C409" w14:textId="77777777" w:rsidR="00236F42" w:rsidRPr="00236F42" w:rsidRDefault="00236F42" w:rsidP="00236F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ko-KR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ko-KR"/>
          <w14:ligatures w14:val="none"/>
        </w:rPr>
        <w:t xml:space="preserve">Исходя из </w:t>
      </w:r>
      <w:proofErr w:type="spellStart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ko-KR"/>
          <w14:ligatures w14:val="none"/>
        </w:rPr>
        <w:t>горно</w:t>
      </w:r>
      <w:proofErr w:type="spellEnd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ko-KR"/>
          <w14:ligatures w14:val="none"/>
        </w:rPr>
        <w:t xml:space="preserve">-геологических условий залегания полезного ископаемого, принята открытая система разработки, с буровзрывным разрыхлением. Разрыхленное полезное ископаемое грузится одноковшовым экскаватором в автосамосвалы. Вскрышные породы будут перемещены бульдозером за пределы карьера для обваловки карьера и во внешний отвал вскрышных пород. После окончания работ вскрышные породы будут использоваться для рекультивации нарушенных земель. </w:t>
      </w:r>
    </w:p>
    <w:p w14:paraId="1DB15248" w14:textId="77777777" w:rsidR="00236F42" w:rsidRPr="00236F42" w:rsidRDefault="00236F42" w:rsidP="00236F42">
      <w:pPr>
        <w:autoSpaceDE w:val="0"/>
        <w:autoSpaceDN w:val="0"/>
        <w:adjustRightInd w:val="0"/>
        <w:spacing w:before="34" w:after="0" w:line="331" w:lineRule="exac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Срок проведения добычи </w:t>
      </w:r>
    </w:p>
    <w:p w14:paraId="36AE52CC" w14:textId="77777777" w:rsidR="00236F42" w:rsidRPr="00236F42" w:rsidRDefault="00236F42" w:rsidP="00236F42">
      <w:pPr>
        <w:autoSpaceDE w:val="0"/>
        <w:autoSpaceDN w:val="0"/>
        <w:adjustRightInd w:val="0"/>
        <w:spacing w:before="34" w:after="0" w:line="331" w:lineRule="exac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Общий срок проведения добычи составит– 10 лет (2026-2035 гг.).</w:t>
      </w:r>
    </w:p>
    <w:p w14:paraId="58AB3041" w14:textId="77777777" w:rsidR="00236F42" w:rsidRPr="00236F42" w:rsidRDefault="00236F42" w:rsidP="00236F42">
      <w:pPr>
        <w:autoSpaceDE w:val="0"/>
        <w:autoSpaceDN w:val="0"/>
        <w:adjustRightInd w:val="0"/>
        <w:spacing w:before="34" w:after="0" w:line="331" w:lineRule="exac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Режим работы</w:t>
      </w:r>
    </w:p>
    <w:p w14:paraId="3A6706C7" w14:textId="77777777" w:rsidR="00236F42" w:rsidRPr="00236F42" w:rsidRDefault="00236F42" w:rsidP="00236F42">
      <w:pPr>
        <w:autoSpaceDE w:val="0"/>
        <w:autoSpaceDN w:val="0"/>
        <w:adjustRightInd w:val="0"/>
        <w:spacing w:before="34" w:after="0" w:line="331" w:lineRule="exac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Количество рабочих дней в году –301 дней/год.  </w:t>
      </w:r>
    </w:p>
    <w:p w14:paraId="1D7BDFFB" w14:textId="77777777" w:rsidR="00236F42" w:rsidRPr="00236F42" w:rsidRDefault="00236F42" w:rsidP="00236F42">
      <w:pPr>
        <w:autoSpaceDE w:val="0"/>
        <w:autoSpaceDN w:val="0"/>
        <w:adjustRightInd w:val="0"/>
        <w:spacing w:before="34" w:after="0" w:line="331" w:lineRule="exac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Режим работы – односменный по 8 ч/</w:t>
      </w:r>
      <w:proofErr w:type="spellStart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сут</w:t>
      </w:r>
      <w:proofErr w:type="spellEnd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</w:t>
      </w:r>
    </w:p>
    <w:p w14:paraId="344C51F0" w14:textId="77777777" w:rsidR="00236F42" w:rsidRPr="00236F42" w:rsidRDefault="00236F42" w:rsidP="00236F42">
      <w:pPr>
        <w:autoSpaceDE w:val="0"/>
        <w:autoSpaceDN w:val="0"/>
        <w:adjustRightInd w:val="0"/>
        <w:spacing w:before="34" w:after="0" w:line="331" w:lineRule="exact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Количество рабочего персонала 10 человек.</w:t>
      </w:r>
    </w:p>
    <w:p w14:paraId="6EF02F0A" w14:textId="77777777" w:rsidR="00236F42" w:rsidRPr="00236F42" w:rsidRDefault="00236F42" w:rsidP="00236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u-RU" w:eastAsia="ru-RU"/>
          <w14:ligatures w14:val="none"/>
        </w:rPr>
        <w:t xml:space="preserve">Ожидаемые виды, характеристики и количество эмиссий в атмосферный воздух на период эксплуатации месторождении </w:t>
      </w:r>
    </w:p>
    <w:p w14:paraId="0F497E15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При проведении добычи строительного камня на месторождении «</w:t>
      </w:r>
      <w:proofErr w:type="spellStart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Тасболат</w:t>
      </w:r>
      <w:proofErr w:type="spellEnd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» основными источниками выбросов загрязняющих веществ в атмосферу будут: добыча строительного камня, отвал вскрышных пород, передвижение карьерной техники, автотранспорт.</w:t>
      </w:r>
    </w:p>
    <w:p w14:paraId="1176B164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По данным проекта при проведении добычи рассматриваются 5 неорганизованных источников выбросов вредных веществ в атмосферу. В целом суммарные выбросы загрязняющих веществ при проведении добычи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 xml:space="preserve">всего по предприятию составляют – 5,343298 т/год. Из них: твердые – 2,583155 т/год, газообразные и жидкие – 2.760143 т/год. </w:t>
      </w:r>
    </w:p>
    <w:p w14:paraId="118000EE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Выбросы загрязняющих веществ от передвижных источников (автотранспорт) не нормируются (Согласно «Методике определения нормативов эмиссий в окружающую среду» утв. Приказом Министра экологии, геологии и природных ресурсов от 10 марта 2021 года №63). </w:t>
      </w:r>
    </w:p>
    <w:p w14:paraId="76B05564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Подлежащие нормированию выбросы составили 5.337401 т/год. т/год. Из них: твердые 2.582962 т/год, газообразные и жидкие – 2.754439 т/год. </w:t>
      </w:r>
    </w:p>
    <w:p w14:paraId="65C8E09A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Воздействие на атмосферный воздух оценивается как допустимое.</w:t>
      </w:r>
    </w:p>
    <w:p w14:paraId="665D56C6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Добычные работы</w:t>
      </w:r>
    </w:p>
    <w:p w14:paraId="25D6DA2D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Месторождение будет разрабатываться открытым способом, с рыхлением пород буровзрывным способом и с применением экскаватора (1 ед.). Объем добычи составит от 5 000 до 50 000 м3/год (14 600-146 000 т/год). </w:t>
      </w:r>
    </w:p>
    <w:p w14:paraId="3E7CA792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Время проведения работ экскаватора составит – 1072 ч/год.</w:t>
      </w:r>
    </w:p>
    <w:p w14:paraId="4F3560DB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Буровые работы – 501 ч/год. Буровые работы производятся самоходными буровыми установками типа Атлас-Копко ROK-L8 получением сжатого воздуха от передвижных компрессоров типа ПР-10. </w:t>
      </w:r>
    </w:p>
    <w:p w14:paraId="4DD1A313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Взрывные работы- 1 раз в месяц. В качестве взрывчатого вещества при разработке строительного камня применяется ВВ аммонит 6ЖВ:</w:t>
      </w:r>
    </w:p>
    <w:p w14:paraId="7E69F0DB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>на 2026-2035 год – при взрывах горной породы – 25.2 т/год. Взрывные работы в карьере предусмотрены методом скважинных зарядов.</w:t>
      </w:r>
    </w:p>
    <w:p w14:paraId="414A0369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При проведении работ в атмосферу выделяется пыль неорганическая: 70-20% двуокиси кремния азот диоксид, азот оксид, углерод оксид, сера диоксид сажа, формальдегид, бензапирен, углеводороды предельные С12-19.  Выброс загрязняющего вещества в атмосферу происходит неорганизованно (источник №6001).</w:t>
      </w:r>
    </w:p>
    <w:p w14:paraId="4F71A4BE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Отвал вскрышных пород </w:t>
      </w:r>
    </w:p>
    <w:p w14:paraId="55C9DF72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Проектом предусматривается бульдозерное </w:t>
      </w:r>
      <w:proofErr w:type="spellStart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отвалообразование</w:t>
      </w:r>
      <w:proofErr w:type="spellEnd"/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 Время проведения работ бульдозера составит – 128 ч/год. Отвал внешний, одноярусный, равнинный. Способ сооружения отвала периферийный. Объём вскрыши составляет 1100 м3/ год (3212 т/год). Отвалы будут временные. По мере передвижения фронта работ, вскрышные породы будут использоваться для обваловки карьера. После окончания работ вскрышные породы будут использоваться для рекультивации нарушенных земель. При формировании отвала в атмосферу происходит выброс пыли неорганической: 70-20% двуокиси кремния. Выброс загрязняющих веществ в атмосферу происходит неорганизованно (источник №6002).</w:t>
      </w:r>
    </w:p>
    <w:p w14:paraId="3C8DEAC3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Транспортировка </w:t>
      </w:r>
    </w:p>
    <w:p w14:paraId="2B740638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Транспортировка добытой горной массы производится автосамосвалом (4 ед.). Время работы при транспортировке строительного камня составит – 1440 ч/год. Движение автотранспорта в карьере обуславливает выделение вредных веществ: пыль 70-20% двуокиси кремния. Выброс загрязняющих веществ в атмосферу происходит неорганизованно (источник №6003).</w:t>
      </w:r>
    </w:p>
    <w:p w14:paraId="47EC35F5" w14:textId="77777777" w:rsid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</w:p>
    <w:p w14:paraId="3F642EC9" w14:textId="77777777" w:rsid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</w:p>
    <w:p w14:paraId="1D1F61D8" w14:textId="4BDEDA29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lastRenderedPageBreak/>
        <w:t>Заправка карьерной техники</w:t>
      </w:r>
    </w:p>
    <w:p w14:paraId="57F96A98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Строительство склада ГСМ на участке работ не планируется. Весь автотранспорт будет заправляться на АЗС.  Бульдозер и экскаватор заправляются в карьере с помощью с топливозаправщика. Расход дизельного топлива для карьерной техники составит – 10 т/год. </w:t>
      </w:r>
    </w:p>
    <w:p w14:paraId="167B1BDE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При проведении заправки техники в атмосферу будут выделяться следующие загрязняющие вещества: сероводород, углеводороды предельные С12-19 /в пересчете на суммарный органический углерод/. Выброс загрязняющих веществ происходит неорганизованно (источник №6004).</w:t>
      </w:r>
    </w:p>
    <w:p w14:paraId="0BE8D48A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E2E7125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Автотранспорт</w:t>
      </w:r>
    </w:p>
    <w:p w14:paraId="56B78F6D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Для проведения работ на карьере будет использоваться следующий автотранспорт: экскаватор (1 ед.), бульдозер (1 ед.), самосвал (2 ед.), поливомоечная машина (1 ед.). </w:t>
      </w:r>
    </w:p>
    <w:p w14:paraId="5B063385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Источниками выделения загрязняющих веществ являются двигатели внутреннего сгорания автотранспорта. В атмосферный воздух выбрасываются оксид азота, диоксид азота, оксид углерода, сера диоксид, керосин, углерод. Выброс загрязняющих веществ происходит неорганизованно (источник №6005). </w:t>
      </w:r>
    </w:p>
    <w:p w14:paraId="17F356E0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/>
          <w14:ligatures w14:val="none"/>
        </w:rPr>
        <w:t>Характеристика поверхностных и подземных вод</w:t>
      </w:r>
    </w:p>
    <w:p w14:paraId="6D5895E1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Ближайшим водотоком является река </w:t>
      </w:r>
      <w:proofErr w:type="spell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Карауылозек</w:t>
      </w:r>
      <w:proofErr w:type="spell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, протекающая в 8,4 км западнее от месторождения. </w:t>
      </w:r>
    </w:p>
    <w:p w14:paraId="7A7AD604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Согласно ответу РГУ ««</w:t>
      </w:r>
      <w:proofErr w:type="spell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Ертисская</w:t>
      </w:r>
      <w:proofErr w:type="spell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 бассейновая водная инспекция» №3Т-2026-00861875 от 12.03.2026 г. что в радиусе 500 метров от участка намечаемой деятельности водных объектов не имеется. Участок работ находится за пределами границ водоохраной зоны рек.</w:t>
      </w:r>
    </w:p>
    <w:p w14:paraId="55714C44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На месторождении полезное ископаемое не обводнено, уровень грунтовых вод залегает ниже подошвы проектируемого карьера, поэтому приток воды возможен только за счет атмосферных осадков. Карьер расположен на водораздельной части и поэтому не требуется проходка нагорной водоотводной канавы. </w:t>
      </w:r>
    </w:p>
    <w:p w14:paraId="7687AD6F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/>
          <w14:ligatures w14:val="none"/>
        </w:rPr>
        <w:t xml:space="preserve">Образование отходов производства и потребления </w:t>
      </w:r>
    </w:p>
    <w:p w14:paraId="4E156845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Отходами производства и потребления, при проведении работ по добыче строительного камня на месторождении «</w:t>
      </w:r>
      <w:proofErr w:type="spell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Тасболат</w:t>
      </w:r>
      <w:proofErr w:type="spell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» считаются твердо-бытовые отходы (ТБО), вскрышные породы.</w:t>
      </w:r>
    </w:p>
    <w:p w14:paraId="264DFD1A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Твердо-бытовые отходы</w:t>
      </w:r>
    </w:p>
    <w:p w14:paraId="18F3A6B7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Отходы образуются в результате производственно-хозяйственной деятельности предприятия. Согласно «Методике разработки проектов нормативов предельного размещения отходов производства и потребления". Приложение №16 к приказу МООС РК от 18.04.2008 г. №100-п» (далее Методика) норма образования ТБО на промышленных предприятиях – 0,3 м3/год на человека, плотность отходов составляет 0,25 т/м3.</w:t>
      </w:r>
    </w:p>
    <w:p w14:paraId="564F6CE8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Q = 10 чел. х 0,3 м3/год х 0,25 т/м3= 0,75 т/год</w:t>
      </w:r>
    </w:p>
    <w:p w14:paraId="4011E37D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Код отходов – 20 03 01 (неопасные отходы). Способ хранения – временное хранение в металлическом контейнере на территории 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lastRenderedPageBreak/>
        <w:t xml:space="preserve">промышленной площадки. По мере накопления отходы будут вывозиться на полигон ТБО. Хранение отходов на площадке не будет превышать 6 месяцев. </w:t>
      </w:r>
    </w:p>
    <w:p w14:paraId="0950F8C6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Вскрышная порода - образуются при </w:t>
      </w:r>
      <w:proofErr w:type="spell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горно</w:t>
      </w:r>
      <w:proofErr w:type="spell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-подготовительных работах. Вскрышная порода складируется раздельно за пределы карьера для обваловки карьера и во внешний отвал вскрышных пород. После окончания работ вскрышные породы будут использоваться для рекультивации нарушенных земель. Площадь отвала 2500 м2. Годовой объем образования отхода – 1100 м3/год (3212 т/год).</w:t>
      </w:r>
    </w:p>
    <w:p w14:paraId="0264668D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ko-KR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ko-KR"/>
          <w14:ligatures w14:val="none"/>
        </w:rPr>
        <w:t>Оценка воздействия на земельные ресурсы и почвы</w:t>
      </w:r>
    </w:p>
    <w:p w14:paraId="60BEDF8D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В процессе добычи строительного камня на месторождении «</w:t>
      </w:r>
      <w:proofErr w:type="spell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Тасболат</w:t>
      </w:r>
      <w:proofErr w:type="spell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» приведет неизбежно к нарушению естественного и почвенного покровов участка </w:t>
      </w:r>
    </w:p>
    <w:p w14:paraId="15930423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</w:p>
    <w:p w14:paraId="44126A03" w14:textId="77777777" w:rsidR="00236F42" w:rsidRPr="00236F42" w:rsidRDefault="00236F42" w:rsidP="00236F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работ. Нарушенные земли будут подвергаться ветровой и водной эрозии, а это приведет к загрязнению прилегающих земель продуктами эрозии и ухудшит их качество. Для устранения этих негативных процессов предусматривается рекультивация нарушенных территорий. Рекультивация нарушенных земель будет производиться в соответствии с Планом ликвидации последствии операции по недропользованию. Основными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ab/>
        <w:t xml:space="preserve"> мероприятиями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ab/>
        <w:t>по сохранению и восстановлению почв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ab/>
        <w:t>является проведение технической рекультивации.</w:t>
      </w:r>
    </w:p>
    <w:p w14:paraId="1179D0E1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Технический этап рекультивации включает следующий комплекс работ:</w:t>
      </w:r>
    </w:p>
    <w:p w14:paraId="094F0EC6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-равномерное распределение грунта в пределах рекультивированной полосы с созданием ровной поверхности;</w:t>
      </w:r>
    </w:p>
    <w:p w14:paraId="38F67CE6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-планировочные работы после завершения работ; </w:t>
      </w:r>
    </w:p>
    <w:p w14:paraId="63225B85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-очистка территории и прилегающей территории от мусора;</w:t>
      </w:r>
    </w:p>
    <w:p w14:paraId="381DE099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-рекультивация водонепроницаемой выгребной ямы (вручную)</w:t>
      </w:r>
    </w:p>
    <w:p w14:paraId="6D3E1AE8" w14:textId="77777777" w:rsidR="00236F42" w:rsidRPr="00236F42" w:rsidRDefault="00236F42" w:rsidP="00236F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proofErr w:type="gram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.Проведение</w:t>
      </w:r>
      <w:proofErr w:type="gram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 добычных работ на месторождении сопровождается выбросом пыли, которая впоследствии оседает на прилегающей к ней территории. Для снижения пылеобразования при засушливой и положительной температуре воздуха должна проводиться поливка дорог. </w:t>
      </w:r>
    </w:p>
    <w:p w14:paraId="029B2182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В связи с вышеуказанным воздействие на почвенный покров оценивается как допустимое.</w:t>
      </w:r>
    </w:p>
    <w:p w14:paraId="14612902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val="ru-RU" w:eastAsia="ru-RU"/>
          <w14:ligatures w14:val="none"/>
        </w:rPr>
        <w:t>Растительный мир</w:t>
      </w:r>
    </w:p>
    <w:p w14:paraId="6E6EEEB8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При проведении добычных работ на месторождении «</w:t>
      </w:r>
      <w:proofErr w:type="spell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Тасболат</w:t>
      </w:r>
      <w:proofErr w:type="spell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» снос зеленых насаждений не предусматривается, так как зеленые насаждения на участке работ отсутствуют. Согласно ответам РГКП «Казахское лесоустроительное предприятие» №04-02-05/1731 от 19.11.2025г. месторождение «</w:t>
      </w:r>
      <w:proofErr w:type="spell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Тасболат</w:t>
      </w:r>
      <w:proofErr w:type="spell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» находится за пределами земель государственного лесного фонда и особо охраняемых природных территорий со статусом юридического лица.</w:t>
      </w:r>
    </w:p>
    <w:p w14:paraId="30C8F424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Животный мир</w:t>
      </w:r>
    </w:p>
    <w:p w14:paraId="284AE71D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Согласно ответу РГКП «ПО </w:t>
      </w:r>
      <w:proofErr w:type="spell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Охотзоопром</w:t>
      </w:r>
      <w:proofErr w:type="spell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» №№3Т-2025-03948171/2 от 13.11.10.2025 г. месторождение «</w:t>
      </w:r>
      <w:proofErr w:type="spell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Тасболат</w:t>
      </w:r>
      <w:proofErr w:type="spell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» является местом обитания и 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lastRenderedPageBreak/>
        <w:t>путями миграции редких и исчезающих копытных животных (архара), занесенных в Красную Книгу РК. На территории месторождения «</w:t>
      </w:r>
      <w:proofErr w:type="spell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Тасболат</w:t>
      </w:r>
      <w:proofErr w:type="spell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» отсутствуют особо охраняемые природные </w:t>
      </w:r>
      <w:proofErr w:type="spellStart"/>
      <w:proofErr w:type="gram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территории.Предусмотрены</w:t>
      </w:r>
      <w:proofErr w:type="spellEnd"/>
      <w:proofErr w:type="gram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 мероприятия по сохранению среды обитания и условий размножения объектов животного мира: </w:t>
      </w:r>
    </w:p>
    <w:p w14:paraId="5C911BCD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поддержание в чистоте прилегающих площадей; </w:t>
      </w:r>
    </w:p>
    <w:p w14:paraId="45E46043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исключение несанкционированной дорожной сети; </w:t>
      </w:r>
    </w:p>
    <w:p w14:paraId="654DCD8B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снижение активности передвижения средств ночью; </w:t>
      </w:r>
    </w:p>
    <w:p w14:paraId="74D33A37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запрещается охота и отстрел животных и птиц; </w:t>
      </w:r>
    </w:p>
    <w:p w14:paraId="666D3F52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-приостановка производственных работ при массовой миграции животных;</w:t>
      </w:r>
    </w:p>
    <w:p w14:paraId="082329FF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запрещается разорение гнезд; </w:t>
      </w:r>
    </w:p>
    <w:p w14:paraId="480EE31E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предупреждение возникновения пожаров; </w:t>
      </w:r>
    </w:p>
    <w:p w14:paraId="7E2BDAAC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ведение работ вовремя, не затрагивающее период размножения. </w:t>
      </w:r>
    </w:p>
    <w:p w14:paraId="73710473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-снижение площадей нарушенных земель;</w:t>
      </w:r>
    </w:p>
    <w:p w14:paraId="51C4954E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-применение современных технологий ведения работ;</w:t>
      </w:r>
    </w:p>
    <w:p w14:paraId="7DA0AFF8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-строгая регламентация ведения работ на участке;</w:t>
      </w:r>
    </w:p>
    <w:p w14:paraId="188BA6BF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</w:p>
    <w:p w14:paraId="4088A55C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-упорядочить движение автотранспорта по территории работ путем разработки оптимальных схем движения и обучения персонала;</w:t>
      </w:r>
    </w:p>
    <w:p w14:paraId="553C8832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-организовать сбор и вывоз отходов производства и потребления на полигоны и/или специализированные предприятия по мере заполнения контейнеров и мест временного складирования;</w:t>
      </w:r>
    </w:p>
    <w:p w14:paraId="0E41D4D6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-во избежание разноса отходов контейнеры должны иметь плотные крышки;</w:t>
      </w:r>
    </w:p>
    <w:p w14:paraId="0E8ED416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-заправку транспорта проводить в строго отведенных оборудованных местах;</w:t>
      </w:r>
    </w:p>
    <w:p w14:paraId="186B0844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-максимально возможное снижение присутствия человека на площади месторождения за пределами площадок и дорог;</w:t>
      </w:r>
    </w:p>
    <w:p w14:paraId="5D28DBFD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-запрещение кормления и приманки диких животных;</w:t>
      </w:r>
    </w:p>
    <w:p w14:paraId="038C5719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-просветительская работа экологического содержания;</w:t>
      </w:r>
    </w:p>
    <w:p w14:paraId="39F619EC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 проведение всех видов деятельности в соответствии с требованиями экологических положений Республики Казахстан.</w:t>
      </w:r>
    </w:p>
    <w:p w14:paraId="314D4349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/>
          <w14:ligatures w14:val="none"/>
        </w:rPr>
        <w:t>Физические воздействия</w:t>
      </w:r>
    </w:p>
    <w:p w14:paraId="7C1B051B" w14:textId="77777777" w:rsidR="00236F42" w:rsidRPr="00236F42" w:rsidRDefault="00236F42" w:rsidP="00236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К основным физическим воздействиям при проведении добычных работ на месторождении «</w:t>
      </w:r>
      <w:proofErr w:type="spellStart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Тасболат</w:t>
      </w:r>
      <w:proofErr w:type="spellEnd"/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» относятся: шум и вибрация. Источники шума на участке работ не окажут негативного воздействия на окружающую среду в границах ближайшей жилой застройки, так как расположены на значительном от нее расстоянии. </w:t>
      </w:r>
    </w:p>
    <w:p w14:paraId="339FE8DA" w14:textId="77777777" w:rsidR="00236F42" w:rsidRPr="00236F42" w:rsidRDefault="00236F42" w:rsidP="00236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Добычные работы на карьере не будут оказывать воздействия на фоновый уровень вибрации на территории жилой застройки в связи с ее удаленностью. Вибрационное воздействие намечаемой деятельности оценивается как допустимое</w:t>
      </w:r>
    </w:p>
    <w:p w14:paraId="18B4B968" w14:textId="77777777" w:rsidR="00236F42" w:rsidRPr="00236F42" w:rsidRDefault="00236F42" w:rsidP="00236F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val="ru-RU" w:eastAsia="ru-RU"/>
          <w14:ligatures w14:val="none"/>
        </w:rPr>
        <w:t>Мероприятия по охране по охране атмосферного воздуха</w:t>
      </w:r>
    </w:p>
    <w:p w14:paraId="683985D3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Снижение негативных последствий будет обеспечиваться реализацией 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lastRenderedPageBreak/>
        <w:t xml:space="preserve">комплекса технических, технологических и природоохранных мероприятий, включающих: </w:t>
      </w:r>
    </w:p>
    <w:p w14:paraId="01CFCE97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строгое соблюдение технологического плана работ; </w:t>
      </w:r>
    </w:p>
    <w:p w14:paraId="1C352FA7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 заправка карьерного транспорта на специально отведенных местах с поддонами, топливозаправщиком снабженным заправочным пистолетом;</w:t>
      </w:r>
    </w:p>
    <w:p w14:paraId="3F71E75F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выделение и обустройство мест для установки контейнеров для различных отходов; </w:t>
      </w:r>
    </w:p>
    <w:p w14:paraId="0FC5FFDB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сбор и вывоз отходов по договору сторонней организацией; </w:t>
      </w:r>
    </w:p>
    <w:p w14:paraId="39F52DF4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проведение работ в границах выделенных земельных отводов; </w:t>
      </w:r>
    </w:p>
    <w:p w14:paraId="0DF0C8BA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проведение мероприятий по борьбе с чрезмерным запылением; </w:t>
      </w:r>
    </w:p>
    <w:p w14:paraId="69514E4D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своевременное проведение технического обслуживания, проверки и ремонта оборудования, строительной техники; </w:t>
      </w:r>
    </w:p>
    <w:p w14:paraId="6F35CBCB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 xml:space="preserve">- не допущение разброса бытового и строительного мусора по территории; </w:t>
      </w:r>
    </w:p>
    <w:p w14:paraId="7DD81331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 не допущение слива бытовых и хозяйственных сточных вод на почвы;</w:t>
      </w:r>
    </w:p>
    <w:p w14:paraId="65654718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 посадка древесно-кустарниковой растительности на бортах карьера, для предотвращения разрушения бортов карьера;</w:t>
      </w:r>
    </w:p>
    <w:p w14:paraId="79654D24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 озеленение санитарно-защитной зоны и периметра территории месторождения древесно-кустарниковой растительностью (сирень, ива, вяз) в объеме не менее 40% от общей площади.</w:t>
      </w:r>
    </w:p>
    <w:p w14:paraId="3E4D4DB9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</w:p>
    <w:p w14:paraId="36AB7E8F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ab/>
        <w:t>снятие и сохранение плодородного слоя почвы в целях дальнейшего использования при рекультивации;</w:t>
      </w:r>
    </w:p>
    <w:p w14:paraId="6C23114F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ab/>
        <w:t>проведение противопожарных мероприятий;</w:t>
      </w:r>
    </w:p>
    <w:p w14:paraId="185BE9FB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ab/>
        <w:t>охрану атмосферного воздуха и поверхностных вод;</w:t>
      </w:r>
    </w:p>
    <w:p w14:paraId="192BF36A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ab/>
        <w:t>наиболее полное использование уже имеющихся элементов инфраструктуры (дорог, мостов и др.), а также использование под объекты инфраструктуры значительно нарушенных участков и участков, на которых восстановление естественной растительности невозможно;</w:t>
      </w:r>
    </w:p>
    <w:p w14:paraId="4625E9F2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ab/>
        <w:t>строгое соблюдение разработанных и согласованных с местными органами транспортных схем и маршрутов движения транспорта;</w:t>
      </w:r>
    </w:p>
    <w:p w14:paraId="378CCAD9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ab/>
        <w:t>обязательное соблюдение границ территорий, отведенных в постоянное или временное пользование для осуществления геологоразведочных работ;</w:t>
      </w:r>
    </w:p>
    <w:p w14:paraId="2F4EA9D2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ab/>
        <w:t>максимальное сохранение имеющихся зеленых насаждений;</w:t>
      </w:r>
    </w:p>
    <w:p w14:paraId="77D59F99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</w:pP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>-</w:t>
      </w:r>
      <w:r w:rsidRPr="00236F42"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 w:eastAsia="ru-RU"/>
          <w14:ligatures w14:val="none"/>
        </w:rPr>
        <w:tab/>
        <w:t>рекультивацию нарушенных земель.</w:t>
      </w:r>
    </w:p>
    <w:p w14:paraId="5958A744" w14:textId="77777777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</w:p>
    <w:p w14:paraId="6896DB53" w14:textId="77777777" w:rsidR="00236F42" w:rsidRDefault="00236F42" w:rsidP="00236F4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19E5E80E" w14:textId="77777777" w:rsidR="00236F42" w:rsidRDefault="00236F42" w:rsidP="00236F4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4DE00F9A" w14:textId="77777777" w:rsidR="00236F42" w:rsidRDefault="00236F42" w:rsidP="00236F4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0DD20BC8" w14:textId="77777777" w:rsidR="00236F42" w:rsidRDefault="00236F42" w:rsidP="00236F4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6F9A0F3A" w14:textId="77777777" w:rsidR="00236F42" w:rsidRDefault="00236F42" w:rsidP="00236F4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391C199B" w14:textId="77777777" w:rsidR="00236F42" w:rsidRDefault="00236F42" w:rsidP="00236F4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0FEF39DE" w14:textId="77777777" w:rsidR="00236F42" w:rsidRDefault="00236F42" w:rsidP="00236F4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73A02041" w14:textId="77777777" w:rsidR="00236F42" w:rsidRDefault="00236F42" w:rsidP="00236F4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3915D11E" w14:textId="678BA75A" w:rsidR="00236F42" w:rsidRPr="00236F42" w:rsidRDefault="00236F42" w:rsidP="00236F42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236F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lastRenderedPageBreak/>
        <w:t>ЗАКЛЮЧЕНИЕ</w:t>
      </w:r>
    </w:p>
    <w:p w14:paraId="15043794" w14:textId="77777777" w:rsidR="00236F42" w:rsidRPr="00236F42" w:rsidRDefault="00236F42" w:rsidP="00236F42">
      <w:pPr>
        <w:widowControl w:val="0"/>
        <w:autoSpaceDE w:val="0"/>
        <w:autoSpaceDN w:val="0"/>
        <w:spacing w:after="0"/>
        <w:ind w:left="104" w:right="128" w:firstLine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 целом воздействие участка на атмосферный воздух оценивается как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допустимое.</w:t>
      </w:r>
    </w:p>
    <w:p w14:paraId="5DD4EDC6" w14:textId="77777777" w:rsidR="00236F42" w:rsidRPr="00236F42" w:rsidRDefault="00236F42" w:rsidP="00236F42">
      <w:pPr>
        <w:widowControl w:val="0"/>
        <w:autoSpaceDE w:val="0"/>
        <w:autoSpaceDN w:val="0"/>
        <w:spacing w:before="27" w:after="0"/>
        <w:ind w:left="104" w:right="128" w:firstLine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Экологическое состояние окружающей среды территории предприятия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и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санитарно-защитной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зоны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на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этапе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эксплуатации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месторождения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по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расчетам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допустимое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(относительно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удовлетворительное),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системе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экспертных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оценок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низкого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уровня,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когда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негативные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изменения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не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превышают</w:t>
      </w:r>
      <w:r w:rsidRPr="00236F42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предела</w:t>
      </w:r>
      <w:r w:rsidRPr="00236F42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природной</w:t>
      </w:r>
      <w:r w:rsidRPr="00236F42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изменчивости.</w:t>
      </w:r>
    </w:p>
    <w:p w14:paraId="4CB2A9EF" w14:textId="77777777" w:rsidR="00236F42" w:rsidRPr="00236F42" w:rsidRDefault="00236F42" w:rsidP="00236F42">
      <w:pPr>
        <w:widowControl w:val="0"/>
        <w:autoSpaceDE w:val="0"/>
        <w:autoSpaceDN w:val="0"/>
        <w:spacing w:before="25" w:after="0"/>
        <w:ind w:left="104" w:right="123" w:firstLine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Регулярные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наблюдения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состоянием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окружающей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среды,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обеспечение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безаварийной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работы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и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выполнение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всех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предусмотренных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проектом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мероприятий,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позволят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осуществить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реализацию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намечаемой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деятельности по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добыче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без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значимого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влияния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на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окружающую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среду и</w:t>
      </w:r>
      <w:r w:rsidRPr="00236F4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здоровье</w:t>
      </w:r>
      <w:r w:rsidRPr="00236F42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ru-RU"/>
          <w14:ligatures w14:val="none"/>
        </w:rPr>
        <w:t xml:space="preserve"> </w:t>
      </w:r>
      <w:r w:rsidRPr="00236F4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населения.</w:t>
      </w:r>
    </w:p>
    <w:p w14:paraId="7D2E09F7" w14:textId="77777777" w:rsidR="00236F42" w:rsidRPr="00236F42" w:rsidRDefault="00236F42" w:rsidP="00236F4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3BF2901" w14:textId="77777777" w:rsidR="00A02DAC" w:rsidRPr="00236F42" w:rsidRDefault="00A02DAC">
      <w:pPr>
        <w:rPr>
          <w:lang w:val="ru-RU"/>
        </w:rPr>
      </w:pPr>
    </w:p>
    <w:sectPr w:rsidR="00A02DAC" w:rsidRPr="0023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42"/>
    <w:rsid w:val="00236F42"/>
    <w:rsid w:val="00434886"/>
    <w:rsid w:val="00A02DAC"/>
    <w:rsid w:val="00AD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4C38F9"/>
  <w15:chartTrackingRefBased/>
  <w15:docId w15:val="{CE4BAFB4-262D-4E1D-9484-59F6BCFA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6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6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6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6F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6F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6F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6F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6F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6F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6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6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6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6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6F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6F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6F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6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6F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6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2518</Words>
  <Characters>14358</Characters>
  <Application>Microsoft Office Word</Application>
  <DocSecurity>0</DocSecurity>
  <Lines>119</Lines>
  <Paragraphs>33</Paragraphs>
  <ScaleCrop>false</ScaleCrop>
  <Company/>
  <LinksUpToDate>false</LinksUpToDate>
  <CharactersWithSpaces>16843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Ergazykyzy</dc:creator>
  <cp:keywords/>
  <dc:description/>
  <cp:lastModifiedBy>Aigerim Ergazykyzy</cp:lastModifiedBy>
  <cp:revision>1</cp:revision>
  <dcterms:created xsi:type="dcterms:W3CDTF">2026-05-20T13:00:00Z</dcterms:created>
  <dcterms:modified xsi:type="dcterms:W3CDTF">2026-05-20T13:01:00Z</dcterms:modified>
</cp:coreProperties>
</file>