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EDFC" w14:textId="77777777" w:rsidR="00157F23" w:rsidRPr="00157F23" w:rsidRDefault="00157F23" w:rsidP="00157F23">
      <w:pPr>
        <w:widowControl w:val="0"/>
        <w:tabs>
          <w:tab w:val="left" w:pos="1210"/>
        </w:tabs>
        <w:autoSpaceDE w:val="0"/>
        <w:autoSpaceDN w:val="0"/>
        <w:spacing w:after="0" w:line="240" w:lineRule="auto"/>
        <w:ind w:left="281"/>
        <w:jc w:val="center"/>
        <w:outlineLvl w:val="2"/>
        <w:rPr>
          <w:rFonts w:ascii="Times New Roman" w:eastAsia="Times New Roman" w:hAnsi="Times New Roman" w:cs="Times New Roman"/>
          <w:b/>
          <w:bCs/>
          <w:sz w:val="20"/>
          <w:szCs w:val="20"/>
        </w:rPr>
      </w:pPr>
      <w:r w:rsidRPr="00157F23">
        <w:rPr>
          <w:rFonts w:ascii="Times New Roman" w:eastAsia="Times New Roman" w:hAnsi="Times New Roman" w:cs="Times New Roman"/>
          <w:b/>
          <w:bCs/>
          <w:sz w:val="20"/>
          <w:szCs w:val="20"/>
        </w:rPr>
        <w:t>КРАТКОЕ НЕТЕХНИЧЕСКОЕ РЕЗЮМЕ</w:t>
      </w:r>
    </w:p>
    <w:p w14:paraId="66E8A18E" w14:textId="77777777" w:rsidR="00157F23" w:rsidRPr="00157F23" w:rsidRDefault="00157F23" w:rsidP="00157F23">
      <w:pPr>
        <w:widowControl w:val="0"/>
        <w:tabs>
          <w:tab w:val="left" w:pos="1210"/>
          <w:tab w:val="left" w:pos="9356"/>
        </w:tabs>
        <w:autoSpaceDE w:val="0"/>
        <w:autoSpaceDN w:val="0"/>
        <w:spacing w:after="0" w:line="240" w:lineRule="auto"/>
        <w:ind w:right="142" w:firstLine="567"/>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Результаты Проекта «Отчет о возможных воздействиях», выполнен для решений  рабочего проекта «</w:t>
      </w:r>
      <w:r w:rsidRPr="00157F23">
        <w:rPr>
          <w:rFonts w:ascii="Times New Roman" w:eastAsia="Times New Roman" w:hAnsi="Times New Roman" w:cs="Times New Roman"/>
          <w:sz w:val="20"/>
          <w:szCs w:val="20"/>
          <w:lang w:val="ru" w:eastAsia="ru-RU"/>
        </w:rPr>
        <w:t xml:space="preserve">Переработка нефтешлама и донных отложений с применением </w:t>
      </w:r>
      <w:proofErr w:type="spellStart"/>
      <w:r w:rsidRPr="00157F23">
        <w:rPr>
          <w:rFonts w:ascii="Times New Roman" w:eastAsia="Times New Roman" w:hAnsi="Times New Roman" w:cs="Times New Roman"/>
          <w:sz w:val="20"/>
          <w:szCs w:val="20"/>
          <w:lang w:val="ru" w:eastAsia="ru-RU"/>
        </w:rPr>
        <w:t>трикантерной</w:t>
      </w:r>
      <w:proofErr w:type="spellEnd"/>
      <w:r w:rsidRPr="00157F23">
        <w:rPr>
          <w:rFonts w:ascii="Times New Roman" w:eastAsia="Times New Roman" w:hAnsi="Times New Roman" w:cs="Times New Roman"/>
          <w:sz w:val="20"/>
          <w:szCs w:val="20"/>
          <w:lang w:val="ru" w:eastAsia="ru-RU"/>
        </w:rPr>
        <w:t xml:space="preserve"> центрифуги «</w:t>
      </w:r>
      <w:proofErr w:type="spellStart"/>
      <w:r w:rsidRPr="00157F23">
        <w:rPr>
          <w:rFonts w:ascii="Times New Roman" w:eastAsia="Times New Roman" w:hAnsi="Times New Roman" w:cs="Times New Roman"/>
          <w:sz w:val="20"/>
          <w:szCs w:val="20"/>
          <w:lang w:val="ru" w:eastAsia="ru-RU"/>
        </w:rPr>
        <w:t>petromaster</w:t>
      </w:r>
      <w:proofErr w:type="spellEnd"/>
      <w:r w:rsidRPr="00157F23">
        <w:rPr>
          <w:rFonts w:ascii="Times New Roman" w:eastAsia="Times New Roman" w:hAnsi="Times New Roman" w:cs="Times New Roman"/>
          <w:sz w:val="20"/>
          <w:szCs w:val="20"/>
          <w:lang w:val="ru" w:eastAsia="ru-RU"/>
        </w:rPr>
        <w:t xml:space="preserve"> CF5000» в Жылыойском районе Атырауской области»</w:t>
      </w:r>
      <w:r w:rsidRPr="00157F23">
        <w:rPr>
          <w:rFonts w:ascii="Times New Roman" w:eastAsia="Times New Roman" w:hAnsi="Times New Roman" w:cs="Times New Roman"/>
          <w:bCs/>
          <w:sz w:val="20"/>
          <w:szCs w:val="20"/>
          <w:lang w:val="ru"/>
        </w:rPr>
        <w:t xml:space="preserve"> </w:t>
      </w:r>
      <w:r w:rsidRPr="00157F23">
        <w:rPr>
          <w:rFonts w:ascii="Times New Roman" w:eastAsia="Times New Roman" w:hAnsi="Times New Roman" w:cs="Times New Roman"/>
          <w:bCs/>
          <w:sz w:val="20"/>
          <w:szCs w:val="20"/>
        </w:rPr>
        <w:t>показывают что: выполненные расчеты рассеивания по веществам источников выбросов, зона загрязнения не выходит за область воздействия. Воздействие на воздушный бассейн квалифицируется как незначительное (существующее и проектируемое положение), степень опасности для здоровья населения – допустимая.</w:t>
      </w:r>
    </w:p>
    <w:p w14:paraId="058AA998" w14:textId="77777777" w:rsidR="00157F23" w:rsidRPr="00157F23" w:rsidRDefault="00157F23" w:rsidP="00157F23">
      <w:pPr>
        <w:tabs>
          <w:tab w:val="left" w:pos="9356"/>
        </w:tabs>
        <w:autoSpaceDE w:val="0"/>
        <w:autoSpaceDN w:val="0"/>
        <w:adjustRightInd w:val="0"/>
        <w:spacing w:after="0" w:line="240" w:lineRule="auto"/>
        <w:ind w:right="201" w:firstLine="567"/>
        <w:jc w:val="both"/>
        <w:rPr>
          <w:rFonts w:ascii="Times New Roman" w:eastAsia="Calibri" w:hAnsi="Times New Roman" w:cs="Times New Roman"/>
          <w:b/>
          <w:i/>
          <w:color w:val="000000"/>
          <w:sz w:val="20"/>
          <w:szCs w:val="20"/>
        </w:rPr>
      </w:pPr>
      <w:r w:rsidRPr="00157F23">
        <w:rPr>
          <w:rFonts w:ascii="Times New Roman" w:eastAsia="Calibri" w:hAnsi="Times New Roman" w:cs="Times New Roman"/>
          <w:b/>
          <w:i/>
          <w:color w:val="000000"/>
          <w:sz w:val="20"/>
          <w:szCs w:val="20"/>
        </w:rPr>
        <w:t xml:space="preserve"> 1)  Описание предполагаемого места осуществления намечаемой деятельности, план с изображением его границ</w:t>
      </w:r>
    </w:p>
    <w:p w14:paraId="3398DA00" w14:textId="77777777" w:rsidR="00157F23" w:rsidRPr="00157F23" w:rsidRDefault="00157F23" w:rsidP="00157F23">
      <w:pPr>
        <w:widowControl w:val="0"/>
        <w:tabs>
          <w:tab w:val="left" w:pos="9356"/>
        </w:tabs>
        <w:autoSpaceDE w:val="0"/>
        <w:autoSpaceDN w:val="0"/>
        <w:spacing w:before="54" w:after="0" w:line="240" w:lineRule="auto"/>
        <w:ind w:right="201" w:firstLine="582"/>
        <w:jc w:val="both"/>
        <w:rPr>
          <w:rFonts w:ascii="Times New Roman" w:eastAsia="Times New Roman" w:hAnsi="Times New Roman" w:cs="Times New Roman"/>
          <w:sz w:val="20"/>
          <w:szCs w:val="20"/>
        </w:rPr>
      </w:pPr>
      <w:r w:rsidRPr="00157F23">
        <w:rPr>
          <w:rFonts w:ascii="Times New Roman" w:eastAsia="Times New Roman" w:hAnsi="Times New Roman" w:cs="Times New Roman"/>
          <w:sz w:val="20"/>
          <w:szCs w:val="20"/>
        </w:rPr>
        <w:t>Объект работ расположен на производственной площадке ТОО «Тенгизшевройл» и относится к категориям действующих опасных производственных объектов.</w:t>
      </w:r>
    </w:p>
    <w:p w14:paraId="09F00B2B" w14:textId="77777777" w:rsidR="00157F23" w:rsidRPr="00157F23" w:rsidRDefault="00157F23" w:rsidP="00157F23">
      <w:pPr>
        <w:tabs>
          <w:tab w:val="left" w:pos="9356"/>
        </w:tabs>
        <w:autoSpaceDE w:val="0"/>
        <w:autoSpaceDN w:val="0"/>
        <w:adjustRightInd w:val="0"/>
        <w:spacing w:after="0" w:line="240" w:lineRule="auto"/>
        <w:ind w:right="201" w:firstLine="582"/>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ТОО «Тенгизшевройл» является оператором месторождений Тенгиз и Королевское. Месторождения нефти Тенгиз и Королевское расположены в Западном Казахстане на северо-восточном побережье Каспийского моря в Жылыойском районе Атырауской области.</w:t>
      </w:r>
    </w:p>
    <w:p w14:paraId="58E929F1" w14:textId="77777777" w:rsidR="00157F23" w:rsidRPr="00157F23" w:rsidRDefault="00157F23" w:rsidP="00157F23">
      <w:pPr>
        <w:tabs>
          <w:tab w:val="left" w:pos="9356"/>
        </w:tabs>
        <w:autoSpaceDE w:val="0"/>
        <w:autoSpaceDN w:val="0"/>
        <w:adjustRightInd w:val="0"/>
        <w:spacing w:after="0" w:line="240" w:lineRule="auto"/>
        <w:ind w:right="201" w:firstLine="582"/>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В соответствии с гос. актом земельный участок для освоения и развития Тенгизского нефтяного месторождения площадью 52155 га предоставлен ТШО на праве временного возмездного землепользования (аренды).</w:t>
      </w:r>
    </w:p>
    <w:p w14:paraId="03FADAAC" w14:textId="77777777" w:rsidR="00157F23" w:rsidRPr="00157F23" w:rsidRDefault="00157F23" w:rsidP="00157F23">
      <w:pPr>
        <w:tabs>
          <w:tab w:val="left" w:pos="9356"/>
        </w:tabs>
        <w:autoSpaceDE w:val="0"/>
        <w:autoSpaceDN w:val="0"/>
        <w:adjustRightInd w:val="0"/>
        <w:spacing w:after="0" w:line="240" w:lineRule="auto"/>
        <w:ind w:right="201" w:firstLine="582"/>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ТОО «Тенгизшевройл» (ТШО) является крупнейшим нефтедобывающим предприятием в Республике Казахстан, на долю которого приходится более четверти добываемой нефти.</w:t>
      </w:r>
    </w:p>
    <w:p w14:paraId="49A39CF9" w14:textId="77777777" w:rsidR="00157F23" w:rsidRPr="00157F23" w:rsidRDefault="00157F23" w:rsidP="00157F23">
      <w:pPr>
        <w:autoSpaceDE w:val="0"/>
        <w:autoSpaceDN w:val="0"/>
        <w:adjustRightInd w:val="0"/>
        <w:spacing w:after="0" w:line="240" w:lineRule="auto"/>
        <w:ind w:right="201" w:firstLine="582"/>
        <w:jc w:val="both"/>
        <w:rPr>
          <w:rFonts w:ascii="Times New Roman" w:eastAsia="Calibri" w:hAnsi="Times New Roman" w:cs="Times New Roman"/>
          <w:sz w:val="20"/>
          <w:szCs w:val="20"/>
        </w:rPr>
      </w:pPr>
    </w:p>
    <w:p w14:paraId="24C9E7E8" w14:textId="77777777" w:rsidR="00157F23" w:rsidRPr="00157F23" w:rsidRDefault="00157F23" w:rsidP="00157F23">
      <w:pPr>
        <w:widowControl w:val="0"/>
        <w:tabs>
          <w:tab w:val="left" w:pos="1210"/>
        </w:tabs>
        <w:autoSpaceDE w:val="0"/>
        <w:autoSpaceDN w:val="0"/>
        <w:spacing w:after="0" w:line="240" w:lineRule="auto"/>
        <w:ind w:left="281" w:hanging="281"/>
        <w:jc w:val="center"/>
        <w:outlineLvl w:val="2"/>
        <w:rPr>
          <w:rFonts w:ascii="Times New Roman" w:eastAsia="Calibri" w:hAnsi="Times New Roman" w:cs="Times New Roman"/>
          <w:color w:val="000000"/>
          <w:sz w:val="20"/>
          <w:szCs w:val="20"/>
        </w:rPr>
      </w:pPr>
      <w:r w:rsidRPr="00157F23">
        <w:rPr>
          <w:rFonts w:ascii="Times New Roman" w:eastAsia="Times New Roman" w:hAnsi="Times New Roman" w:cs="Times New Roman"/>
          <w:noProof/>
          <w:lang w:eastAsia="ru-RU"/>
        </w:rPr>
        <w:drawing>
          <wp:inline distT="0" distB="0" distL="0" distR="0" wp14:anchorId="32B919A3" wp14:editId="02194AE6">
            <wp:extent cx="6068695" cy="3735241"/>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8695" cy="3735241"/>
                    </a:xfrm>
                    <a:prstGeom prst="rect">
                      <a:avLst/>
                    </a:prstGeom>
                    <a:noFill/>
                    <a:ln>
                      <a:noFill/>
                    </a:ln>
                  </pic:spPr>
                </pic:pic>
              </a:graphicData>
            </a:graphic>
          </wp:inline>
        </w:drawing>
      </w:r>
    </w:p>
    <w:p w14:paraId="70D274E3" w14:textId="77777777" w:rsidR="00157F23" w:rsidRPr="00157F23" w:rsidRDefault="00157F23" w:rsidP="00157F23">
      <w:pPr>
        <w:widowControl w:val="0"/>
        <w:autoSpaceDE w:val="0"/>
        <w:autoSpaceDN w:val="0"/>
        <w:spacing w:after="0" w:line="240" w:lineRule="auto"/>
        <w:ind w:left="3" w:right="3"/>
        <w:jc w:val="center"/>
        <w:rPr>
          <w:rFonts w:ascii="Times New Roman" w:eastAsia="Times New Roman" w:hAnsi="Times New Roman" w:cs="Times New Roman"/>
          <w:b/>
          <w:spacing w:val="-2"/>
          <w:sz w:val="20"/>
          <w:szCs w:val="20"/>
        </w:rPr>
      </w:pPr>
      <w:r w:rsidRPr="00157F23">
        <w:rPr>
          <w:rFonts w:ascii="Times New Roman" w:eastAsia="Times New Roman" w:hAnsi="Times New Roman" w:cs="Times New Roman"/>
          <w:bCs/>
          <w:sz w:val="20"/>
          <w:szCs w:val="20"/>
        </w:rPr>
        <w:t>Рис</w:t>
      </w:r>
      <w:r w:rsidRPr="00157F23">
        <w:rPr>
          <w:rFonts w:ascii="Times New Roman" w:eastAsia="Times New Roman" w:hAnsi="Times New Roman" w:cs="Times New Roman"/>
          <w:bCs/>
          <w:spacing w:val="-8"/>
          <w:sz w:val="20"/>
          <w:szCs w:val="20"/>
        </w:rPr>
        <w:t xml:space="preserve"> </w:t>
      </w:r>
      <w:r w:rsidRPr="00157F23">
        <w:rPr>
          <w:rFonts w:ascii="Times New Roman" w:eastAsia="Times New Roman" w:hAnsi="Times New Roman" w:cs="Times New Roman"/>
          <w:bCs/>
          <w:sz w:val="20"/>
          <w:szCs w:val="20"/>
        </w:rPr>
        <w:t>1.</w:t>
      </w:r>
      <w:r w:rsidRPr="00157F23">
        <w:rPr>
          <w:rFonts w:ascii="Times New Roman" w:eastAsia="Times New Roman" w:hAnsi="Times New Roman" w:cs="Times New Roman"/>
          <w:bCs/>
          <w:spacing w:val="-8"/>
          <w:sz w:val="20"/>
          <w:szCs w:val="20"/>
        </w:rPr>
        <w:t xml:space="preserve"> </w:t>
      </w:r>
      <w:r w:rsidRPr="00157F23">
        <w:rPr>
          <w:rFonts w:ascii="Times New Roman" w:eastAsia="Times New Roman" w:hAnsi="Times New Roman" w:cs="Times New Roman"/>
          <w:bCs/>
          <w:sz w:val="20"/>
          <w:szCs w:val="20"/>
        </w:rPr>
        <w:t>Обзорная</w:t>
      </w:r>
      <w:r w:rsidRPr="00157F23">
        <w:rPr>
          <w:rFonts w:ascii="Times New Roman" w:eastAsia="Times New Roman" w:hAnsi="Times New Roman" w:cs="Times New Roman"/>
          <w:bCs/>
          <w:spacing w:val="-8"/>
          <w:sz w:val="20"/>
          <w:szCs w:val="20"/>
        </w:rPr>
        <w:t xml:space="preserve"> </w:t>
      </w:r>
      <w:r w:rsidRPr="00157F23">
        <w:rPr>
          <w:rFonts w:ascii="Times New Roman" w:eastAsia="Times New Roman" w:hAnsi="Times New Roman" w:cs="Times New Roman"/>
          <w:bCs/>
          <w:sz w:val="20"/>
          <w:szCs w:val="20"/>
        </w:rPr>
        <w:t>карта</w:t>
      </w:r>
      <w:r w:rsidRPr="00157F23">
        <w:rPr>
          <w:rFonts w:ascii="Times New Roman" w:eastAsia="Times New Roman" w:hAnsi="Times New Roman" w:cs="Times New Roman"/>
          <w:bCs/>
          <w:spacing w:val="-7"/>
          <w:sz w:val="20"/>
          <w:szCs w:val="20"/>
        </w:rPr>
        <w:t xml:space="preserve"> </w:t>
      </w:r>
      <w:r w:rsidRPr="00157F23">
        <w:rPr>
          <w:rFonts w:ascii="Times New Roman" w:eastAsia="Times New Roman" w:hAnsi="Times New Roman" w:cs="Times New Roman"/>
          <w:bCs/>
          <w:sz w:val="20"/>
          <w:szCs w:val="20"/>
        </w:rPr>
        <w:t>района</w:t>
      </w:r>
      <w:r w:rsidRPr="00157F23">
        <w:rPr>
          <w:rFonts w:ascii="Times New Roman" w:eastAsia="Times New Roman" w:hAnsi="Times New Roman" w:cs="Times New Roman"/>
          <w:bCs/>
          <w:spacing w:val="-8"/>
          <w:sz w:val="20"/>
          <w:szCs w:val="20"/>
        </w:rPr>
        <w:t xml:space="preserve"> </w:t>
      </w:r>
      <w:r w:rsidRPr="00157F23">
        <w:rPr>
          <w:rFonts w:ascii="Times New Roman" w:eastAsia="Times New Roman" w:hAnsi="Times New Roman" w:cs="Times New Roman"/>
          <w:bCs/>
          <w:sz w:val="20"/>
          <w:szCs w:val="20"/>
        </w:rPr>
        <w:t>расположения</w:t>
      </w:r>
      <w:r w:rsidRPr="00157F23">
        <w:rPr>
          <w:rFonts w:ascii="Times New Roman" w:eastAsia="Times New Roman" w:hAnsi="Times New Roman" w:cs="Times New Roman"/>
          <w:bCs/>
          <w:spacing w:val="-8"/>
          <w:sz w:val="20"/>
          <w:szCs w:val="20"/>
        </w:rPr>
        <w:t xml:space="preserve"> </w:t>
      </w:r>
      <w:r w:rsidRPr="00157F23">
        <w:rPr>
          <w:rFonts w:ascii="Times New Roman" w:eastAsia="Times New Roman" w:hAnsi="Times New Roman" w:cs="Times New Roman"/>
          <w:bCs/>
          <w:sz w:val="20"/>
          <w:szCs w:val="20"/>
        </w:rPr>
        <w:t>проектируемого</w:t>
      </w:r>
      <w:r w:rsidRPr="00157F23">
        <w:rPr>
          <w:rFonts w:ascii="Times New Roman" w:eastAsia="Times New Roman" w:hAnsi="Times New Roman" w:cs="Times New Roman"/>
          <w:bCs/>
          <w:spacing w:val="-8"/>
          <w:sz w:val="20"/>
          <w:szCs w:val="20"/>
        </w:rPr>
        <w:t xml:space="preserve"> </w:t>
      </w:r>
      <w:r w:rsidRPr="00157F23">
        <w:rPr>
          <w:rFonts w:ascii="Times New Roman" w:eastAsia="Times New Roman" w:hAnsi="Times New Roman" w:cs="Times New Roman"/>
          <w:bCs/>
          <w:spacing w:val="-2"/>
          <w:sz w:val="20"/>
          <w:szCs w:val="20"/>
        </w:rPr>
        <w:t>объекта</w:t>
      </w:r>
      <w:r w:rsidRPr="00157F23">
        <w:rPr>
          <w:rFonts w:ascii="Times New Roman" w:eastAsia="Times New Roman" w:hAnsi="Times New Roman" w:cs="Times New Roman"/>
          <w:b/>
          <w:spacing w:val="-2"/>
          <w:sz w:val="20"/>
          <w:szCs w:val="20"/>
        </w:rPr>
        <w:t>.</w:t>
      </w:r>
    </w:p>
    <w:p w14:paraId="54DB1EDA" w14:textId="77777777" w:rsidR="00157F23" w:rsidRPr="00157F23" w:rsidRDefault="00157F23" w:rsidP="00157F23">
      <w:pPr>
        <w:autoSpaceDE w:val="0"/>
        <w:autoSpaceDN w:val="0"/>
        <w:adjustRightInd w:val="0"/>
        <w:spacing w:after="0" w:line="240" w:lineRule="auto"/>
        <w:jc w:val="both"/>
        <w:rPr>
          <w:rFonts w:ascii="Times New Roman" w:eastAsia="Calibri" w:hAnsi="Times New Roman" w:cs="Times New Roman"/>
          <w:color w:val="000000"/>
          <w:sz w:val="20"/>
          <w:szCs w:val="20"/>
        </w:rPr>
      </w:pPr>
    </w:p>
    <w:p w14:paraId="753B6ABB" w14:textId="77777777" w:rsidR="00157F23" w:rsidRPr="00157F23" w:rsidRDefault="00157F23" w:rsidP="00157F23">
      <w:pPr>
        <w:autoSpaceDE w:val="0"/>
        <w:autoSpaceDN w:val="0"/>
        <w:adjustRightInd w:val="0"/>
        <w:spacing w:after="0" w:line="240" w:lineRule="auto"/>
        <w:ind w:right="-224" w:firstLine="567"/>
        <w:jc w:val="both"/>
        <w:rPr>
          <w:rFonts w:ascii="Times New Roman" w:eastAsia="Calibri" w:hAnsi="Times New Roman" w:cs="Times New Roman"/>
          <w:b/>
          <w:i/>
          <w:color w:val="000000"/>
          <w:sz w:val="20"/>
          <w:szCs w:val="20"/>
        </w:rPr>
      </w:pPr>
      <w:r w:rsidRPr="00157F23">
        <w:rPr>
          <w:rFonts w:ascii="Times New Roman" w:eastAsia="Calibri" w:hAnsi="Times New Roman" w:cs="Times New Roman"/>
          <w:b/>
          <w:i/>
          <w:color w:val="000000"/>
          <w:sz w:val="20"/>
          <w:szCs w:val="20"/>
        </w:rPr>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w:t>
      </w:r>
    </w:p>
    <w:p w14:paraId="037A8A76" w14:textId="302731D0" w:rsidR="00157F23" w:rsidRPr="00157F23" w:rsidRDefault="00157F23" w:rsidP="00157F23">
      <w:pPr>
        <w:autoSpaceDE w:val="0"/>
        <w:autoSpaceDN w:val="0"/>
        <w:adjustRightInd w:val="0"/>
        <w:spacing w:after="0" w:line="276" w:lineRule="auto"/>
        <w:ind w:right="-224"/>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Месторождение относится к Жылыойскому району Атырауской области Республики Казахстан. Город Кульсары Жылыойского района находится на расстоянии 110 км от месторождений Тенгиз и Королевское. При этом, город Атырау расположен на расстоянии 350 км от указанных месторождений.</w:t>
      </w:r>
      <w:r w:rsidRPr="00157F23">
        <w:rPr>
          <w:rFonts w:ascii="Calibri" w:eastAsia="Calibri" w:hAnsi="Calibri" w:cs="Times New Roman"/>
          <w:sz w:val="20"/>
          <w:szCs w:val="20"/>
        </w:rPr>
        <w:t xml:space="preserve"> </w:t>
      </w:r>
      <w:r w:rsidRPr="00157F23">
        <w:rPr>
          <w:rFonts w:ascii="Times New Roman" w:eastAsia="Calibri" w:hAnsi="Times New Roman" w:cs="Times New Roman"/>
          <w:sz w:val="20"/>
          <w:szCs w:val="20"/>
        </w:rPr>
        <w:t xml:space="preserve">По территории месторождения проходят: магистральный газопровод Средняя Азия-Центр (САЦ), а также нефтепроводы Тенгиз-Кульсары-Атырау-Новороссийск (КТК) и </w:t>
      </w:r>
      <w:proofErr w:type="spellStart"/>
      <w:r w:rsidRPr="00157F23">
        <w:rPr>
          <w:rFonts w:ascii="Times New Roman" w:eastAsia="Calibri" w:hAnsi="Times New Roman" w:cs="Times New Roman"/>
          <w:sz w:val="20"/>
          <w:szCs w:val="20"/>
        </w:rPr>
        <w:t>УзеньКульсары</w:t>
      </w:r>
      <w:proofErr w:type="spellEnd"/>
      <w:r w:rsidRPr="00157F23">
        <w:rPr>
          <w:rFonts w:ascii="Times New Roman" w:eastAsia="Calibri" w:hAnsi="Times New Roman" w:cs="Times New Roman"/>
          <w:sz w:val="20"/>
          <w:szCs w:val="20"/>
        </w:rPr>
        <w:t xml:space="preserve">-Атырау-Самара. </w:t>
      </w:r>
      <w:r w:rsidR="00CB7C9C" w:rsidRPr="00CB7C9C">
        <w:rPr>
          <w:rFonts w:ascii="Times New Roman" w:eastAsia="Calibri" w:hAnsi="Times New Roman" w:cs="Times New Roman"/>
        </w:rPr>
        <w:t xml:space="preserve">Ближайшим населенным пунктом является поселок </w:t>
      </w:r>
      <w:proofErr w:type="spellStart"/>
      <w:r w:rsidR="00CB7C9C" w:rsidRPr="00CB7C9C">
        <w:rPr>
          <w:rFonts w:ascii="Times New Roman" w:eastAsia="Calibri" w:hAnsi="Times New Roman" w:cs="Times New Roman"/>
        </w:rPr>
        <w:t>Майкомген</w:t>
      </w:r>
      <w:proofErr w:type="spellEnd"/>
      <w:r w:rsidR="00CB7C9C" w:rsidRPr="00CB7C9C">
        <w:rPr>
          <w:rFonts w:ascii="Times New Roman" w:eastAsia="Calibri" w:hAnsi="Times New Roman" w:cs="Times New Roman"/>
        </w:rPr>
        <w:t xml:space="preserve"> (74 км), расположенный в северо-западном направлении</w:t>
      </w:r>
      <w:r w:rsidRPr="00157F23">
        <w:rPr>
          <w:rFonts w:ascii="Times New Roman" w:eastAsia="Calibri" w:hAnsi="Times New Roman" w:cs="Times New Roman"/>
          <w:sz w:val="20"/>
          <w:szCs w:val="20"/>
        </w:rPr>
        <w:t xml:space="preserve">. Бывшие ближайшие населенные пункты Каратон, Сарыкамыс, ферма </w:t>
      </w:r>
      <w:proofErr w:type="spellStart"/>
      <w:r w:rsidRPr="00157F23">
        <w:rPr>
          <w:rFonts w:ascii="Times New Roman" w:eastAsia="Calibri" w:hAnsi="Times New Roman" w:cs="Times New Roman"/>
          <w:sz w:val="20"/>
          <w:szCs w:val="20"/>
        </w:rPr>
        <w:t>Кенарал</w:t>
      </w:r>
      <w:proofErr w:type="spellEnd"/>
      <w:r w:rsidRPr="00157F23">
        <w:rPr>
          <w:rFonts w:ascii="Times New Roman" w:eastAsia="Calibri" w:hAnsi="Times New Roman" w:cs="Times New Roman"/>
          <w:sz w:val="20"/>
          <w:szCs w:val="20"/>
        </w:rPr>
        <w:t xml:space="preserve">, зимовки в прошлые годы были переселены от границ Тенгизского нефтегазового комплекса. Это было выполнено в рамках Проекта ЗВП. Вблизи месторождения имеется аэропорт местных воздушных судов Тенгиз. Территория месторождения </w:t>
      </w:r>
      <w:r w:rsidRPr="00157F23">
        <w:rPr>
          <w:rFonts w:ascii="Times New Roman" w:eastAsia="Calibri" w:hAnsi="Times New Roman" w:cs="Times New Roman"/>
          <w:sz w:val="20"/>
          <w:szCs w:val="20"/>
        </w:rPr>
        <w:lastRenderedPageBreak/>
        <w:t>Тенгиз географически расположена в юго-восточной части Прикаспийской низменности и представляет собой полупустынную слабоволнистую равнину, лежащую ниже уровня моря. Средняя абсолютная отметка рельефа составляет минус 25 м. Климат района резко континентальный: с холодной зимой (до минус 30оС) и жарким летом (до плюс 45оС). Для района характерны сильные ветры. Территория месторождения не располагается в водоохранной зоне и полосе (расстояние от отметки уровня Каспийского моря (-27 м) до месторождения превышает 2 км).</w:t>
      </w:r>
    </w:p>
    <w:p w14:paraId="0F1E9488" w14:textId="77777777" w:rsidR="00157F23" w:rsidRPr="00157F23" w:rsidRDefault="00157F23" w:rsidP="00157F23">
      <w:pPr>
        <w:tabs>
          <w:tab w:val="left" w:pos="9356"/>
        </w:tabs>
        <w:autoSpaceDE w:val="0"/>
        <w:autoSpaceDN w:val="0"/>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В географическом отношении месторождение находится в юго-восточной части. Прикаспийского бассейна, в нефтеносном регионе Южной Эмбы. Основная часть запасов, разведанных в этом районе, приурочена к подсолевой части палеозойского разреза по периферии бассейна.</w:t>
      </w:r>
    </w:p>
    <w:p w14:paraId="2334D9B5" w14:textId="77777777" w:rsidR="00157F23" w:rsidRPr="00157F23" w:rsidRDefault="00157F23" w:rsidP="00157F23">
      <w:pPr>
        <w:widowControl w:val="0"/>
        <w:tabs>
          <w:tab w:val="left" w:pos="1774"/>
          <w:tab w:val="left" w:pos="9356"/>
        </w:tabs>
        <w:autoSpaceDE w:val="0"/>
        <w:autoSpaceDN w:val="0"/>
        <w:spacing w:after="0" w:line="240" w:lineRule="auto"/>
        <w:ind w:right="139" w:firstLine="567"/>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Область подразделена на 7 районов.</w:t>
      </w:r>
    </w:p>
    <w:p w14:paraId="3D90C65A"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
          <w:sz w:val="20"/>
          <w:szCs w:val="20"/>
        </w:rPr>
        <w:t>Жылыойский район</w:t>
      </w:r>
      <w:r w:rsidRPr="00157F23">
        <w:rPr>
          <w:rFonts w:ascii="Times New Roman" w:eastAsia="Times New Roman" w:hAnsi="Times New Roman" w:cs="Times New Roman"/>
          <w:bCs/>
          <w:sz w:val="20"/>
          <w:szCs w:val="20"/>
        </w:rPr>
        <w:t>. Районный центр – поселок Кульсары (75,420 тыс. чел.). Основные виды деятельности – нефтяная и газовая промышленности.</w:t>
      </w:r>
    </w:p>
    <w:p w14:paraId="76163D1D"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 xml:space="preserve">Индерский район. Центр горно-химической промышленности региона, развито животноводство. Районный центр – поселок </w:t>
      </w:r>
      <w:proofErr w:type="spellStart"/>
      <w:r w:rsidRPr="00157F23">
        <w:rPr>
          <w:rFonts w:ascii="Times New Roman" w:eastAsia="Times New Roman" w:hAnsi="Times New Roman" w:cs="Times New Roman"/>
          <w:bCs/>
          <w:sz w:val="20"/>
          <w:szCs w:val="20"/>
        </w:rPr>
        <w:t>Индерборский</w:t>
      </w:r>
      <w:proofErr w:type="spellEnd"/>
      <w:r w:rsidRPr="00157F23">
        <w:rPr>
          <w:rFonts w:ascii="Times New Roman" w:eastAsia="Times New Roman" w:hAnsi="Times New Roman" w:cs="Times New Roman"/>
          <w:bCs/>
          <w:sz w:val="20"/>
          <w:szCs w:val="20"/>
        </w:rPr>
        <w:t xml:space="preserve"> (31,661 тыс. чел.).</w:t>
      </w:r>
    </w:p>
    <w:p w14:paraId="4E337A3E"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 xml:space="preserve">Исатайский район. Районный центр – поселок </w:t>
      </w:r>
      <w:proofErr w:type="spellStart"/>
      <w:r w:rsidRPr="00157F23">
        <w:rPr>
          <w:rFonts w:ascii="Times New Roman" w:eastAsia="Times New Roman" w:hAnsi="Times New Roman" w:cs="Times New Roman"/>
          <w:bCs/>
          <w:sz w:val="20"/>
          <w:szCs w:val="20"/>
        </w:rPr>
        <w:t>Акистау</w:t>
      </w:r>
      <w:proofErr w:type="spellEnd"/>
      <w:r w:rsidRPr="00157F23">
        <w:rPr>
          <w:rFonts w:ascii="Times New Roman" w:eastAsia="Times New Roman" w:hAnsi="Times New Roman" w:cs="Times New Roman"/>
          <w:bCs/>
          <w:sz w:val="20"/>
          <w:szCs w:val="20"/>
        </w:rPr>
        <w:t xml:space="preserve"> (25,898 тыс. чел.). Основной вид деятельности – животноводство.</w:t>
      </w:r>
    </w:p>
    <w:p w14:paraId="27E58E57"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Кзылкогинский район. Районный центр – село Миялы (31,260 тыс. чел.). Основная отрасль – животноводство.</w:t>
      </w:r>
    </w:p>
    <w:p w14:paraId="2C927613"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sz w:val="20"/>
          <w:szCs w:val="20"/>
        </w:rPr>
        <w:t>Курмангазинский район.</w:t>
      </w:r>
      <w:r w:rsidRPr="00157F23">
        <w:rPr>
          <w:rFonts w:ascii="Times New Roman" w:eastAsia="Times New Roman" w:hAnsi="Times New Roman" w:cs="Times New Roman"/>
          <w:bCs/>
          <w:sz w:val="20"/>
          <w:szCs w:val="20"/>
        </w:rPr>
        <w:t xml:space="preserve"> Районный центр – село Ганюшкино (57,144 тыс. чел). Развиты рыбная промышленность и животноводство.</w:t>
      </w:r>
    </w:p>
    <w:p w14:paraId="09C881E9"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 xml:space="preserve">Макатский район. Районный центр – поселок </w:t>
      </w:r>
      <w:proofErr w:type="spellStart"/>
      <w:r w:rsidRPr="00157F23">
        <w:rPr>
          <w:rFonts w:ascii="Times New Roman" w:eastAsia="Times New Roman" w:hAnsi="Times New Roman" w:cs="Times New Roman"/>
          <w:bCs/>
          <w:sz w:val="20"/>
          <w:szCs w:val="20"/>
        </w:rPr>
        <w:t>Макат</w:t>
      </w:r>
      <w:proofErr w:type="spellEnd"/>
      <w:r w:rsidRPr="00157F23">
        <w:rPr>
          <w:rFonts w:ascii="Times New Roman" w:eastAsia="Times New Roman" w:hAnsi="Times New Roman" w:cs="Times New Roman"/>
          <w:bCs/>
          <w:sz w:val="20"/>
          <w:szCs w:val="20"/>
        </w:rPr>
        <w:t xml:space="preserve"> (30,137 тыс. чел.). Преобладает нефтяная промышленность.</w:t>
      </w:r>
    </w:p>
    <w:p w14:paraId="6C2C744D"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Махамбетский район. Районный центр – село Махамбет (31,978 тыс. чел.). Основные виды деятельности – растениеводство и скотоводство.</w:t>
      </w:r>
    </w:p>
    <w:p w14:paraId="007691B5"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Приоритетными направлениями развития экономики Атырауской области являются топливно-энергетическая, производство стройматериалов, обрабатывающая, агропромышленная и рыбная отрасли.</w:t>
      </w:r>
    </w:p>
    <w:p w14:paraId="5FC0773D"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 xml:space="preserve">Природно-ресурсный потенциал. Атырауская область, богатая природными ресурсами, является одним из ведущих регионов Казахстана с интенсивно развивающейся нефтегазовой промышленностью. </w:t>
      </w:r>
    </w:p>
    <w:p w14:paraId="75AB389F"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На территории области выявлены крупнейшие месторождения нефтегазового и газоконденсатного сырья, разработанные на территории 4-х районов. Государственным балансом запасов РК по Атырауской области учтено 87 месторождений углеводородного сырья, в том числе нефтяных – 66, нефтегазовых и газоконденсатных – 21.</w:t>
      </w:r>
    </w:p>
    <w:p w14:paraId="44A832C8"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Крупными инвесторами в нефтегазовом секторе области являются ТОО «Тенгизшевройл» реализующее проекты по разработке Тенгизского и Королевского месторождений и компания Аджип ККО, ведущая разработку шельфа Каспия.</w:t>
      </w:r>
    </w:p>
    <w:p w14:paraId="03B108CA" w14:textId="77777777" w:rsidR="00157F23" w:rsidRPr="00157F23" w:rsidRDefault="00157F23" w:rsidP="00157F23">
      <w:pPr>
        <w:widowControl w:val="0"/>
        <w:tabs>
          <w:tab w:val="left" w:pos="1774"/>
        </w:tabs>
        <w:autoSpaceDE w:val="0"/>
        <w:autoSpaceDN w:val="0"/>
        <w:spacing w:after="0" w:line="240" w:lineRule="auto"/>
        <w:ind w:right="-224"/>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Область также располагает уникальными месторождениями различных минералов и строительных материалов. Основу минерально-сырьевой базы твердых полезных ископаемых составляют месторождения боратовых руд в Индерском районе.</w:t>
      </w:r>
    </w:p>
    <w:p w14:paraId="39AAD09A" w14:textId="77777777" w:rsidR="00157F23" w:rsidRPr="00157F23" w:rsidRDefault="00157F23" w:rsidP="00157F23">
      <w:pPr>
        <w:autoSpaceDE w:val="0"/>
        <w:autoSpaceDN w:val="0"/>
        <w:adjustRightInd w:val="0"/>
        <w:spacing w:after="0" w:line="240" w:lineRule="auto"/>
        <w:ind w:right="-224" w:firstLine="567"/>
        <w:jc w:val="both"/>
        <w:rPr>
          <w:rFonts w:ascii="Times New Roman" w:eastAsia="Calibri" w:hAnsi="Times New Roman" w:cs="Times New Roman"/>
          <w:b/>
          <w:i/>
          <w:color w:val="000000"/>
          <w:sz w:val="20"/>
          <w:szCs w:val="20"/>
        </w:rPr>
      </w:pPr>
      <w:r w:rsidRPr="00157F23">
        <w:rPr>
          <w:rFonts w:ascii="Times New Roman" w:eastAsia="Calibri" w:hAnsi="Times New Roman" w:cs="Times New Roman"/>
          <w:b/>
          <w:i/>
          <w:color w:val="000000"/>
          <w:sz w:val="20"/>
          <w:szCs w:val="20"/>
        </w:rPr>
        <w:t>3) Наименование инициатора намечаемой деятельности, его контактные данные</w:t>
      </w:r>
    </w:p>
    <w:p w14:paraId="691165A8" w14:textId="77777777" w:rsidR="00157F23" w:rsidRPr="00157F23" w:rsidRDefault="00157F23" w:rsidP="00157F23">
      <w:pPr>
        <w:shd w:val="clear" w:color="auto" w:fill="FFFFFF"/>
        <w:spacing w:after="0" w:line="240" w:lineRule="auto"/>
        <w:ind w:right="-224"/>
        <w:jc w:val="both"/>
        <w:rPr>
          <w:rFonts w:ascii="Times New Roman" w:eastAsia="Times New Roman" w:hAnsi="Times New Roman" w:cs="Times New Roman"/>
          <w:color w:val="2C2D2E"/>
          <w:sz w:val="20"/>
          <w:szCs w:val="20"/>
          <w:lang w:eastAsia="ru-RU"/>
        </w:rPr>
      </w:pPr>
      <w:bookmarkStart w:id="0" w:name="_Hlk230087510"/>
      <w:r w:rsidRPr="00157F23">
        <w:rPr>
          <w:rFonts w:ascii="Times New Roman" w:eastAsia="Times New Roman" w:hAnsi="Times New Roman" w:cs="Times New Roman"/>
          <w:color w:val="2C2D2E"/>
          <w:sz w:val="20"/>
          <w:szCs w:val="20"/>
          <w:lang w:eastAsia="ru-RU"/>
        </w:rPr>
        <w:t xml:space="preserve">ТОО "СТ Solutions", 050032, Республика Казахстан, </w:t>
      </w:r>
      <w:proofErr w:type="spellStart"/>
      <w:r w:rsidRPr="00157F23">
        <w:rPr>
          <w:rFonts w:ascii="Times New Roman" w:eastAsia="Times New Roman" w:hAnsi="Times New Roman" w:cs="Times New Roman"/>
          <w:color w:val="2C2D2E"/>
          <w:sz w:val="20"/>
          <w:szCs w:val="20"/>
          <w:lang w:eastAsia="ru-RU"/>
        </w:rPr>
        <w:t>г.Алматы</w:t>
      </w:r>
      <w:proofErr w:type="spellEnd"/>
      <w:r w:rsidRPr="00157F23">
        <w:rPr>
          <w:rFonts w:ascii="Times New Roman" w:eastAsia="Times New Roman" w:hAnsi="Times New Roman" w:cs="Times New Roman"/>
          <w:color w:val="2C2D2E"/>
          <w:sz w:val="20"/>
          <w:szCs w:val="20"/>
          <w:lang w:eastAsia="ru-RU"/>
        </w:rPr>
        <w:t>, Медеуский район Микрорайон Алатау</w:t>
      </w:r>
      <w:r w:rsidRPr="00157F23">
        <w:rPr>
          <w:rFonts w:ascii="Times New Roman" w:eastAsia="Times New Roman" w:hAnsi="Times New Roman" w:cs="Times New Roman"/>
          <w:color w:val="2C2D2E"/>
          <w:sz w:val="20"/>
          <w:szCs w:val="20"/>
          <w:lang w:val="kk-KZ" w:eastAsia="ru-RU"/>
        </w:rPr>
        <w:t>,</w:t>
      </w:r>
      <w:r w:rsidRPr="00157F23">
        <w:rPr>
          <w:rFonts w:ascii="Times New Roman" w:eastAsia="Times New Roman" w:hAnsi="Times New Roman" w:cs="Times New Roman"/>
          <w:color w:val="2C2D2E"/>
          <w:sz w:val="20"/>
          <w:szCs w:val="20"/>
          <w:lang w:eastAsia="ru-RU"/>
        </w:rPr>
        <w:t xml:space="preserve"> улица Ибрагимова, дом № 9, БИН 040440007912, Директор - </w:t>
      </w:r>
      <w:proofErr w:type="spellStart"/>
      <w:r w:rsidRPr="00157F23">
        <w:rPr>
          <w:rFonts w:ascii="Times New Roman" w:eastAsia="Times New Roman" w:hAnsi="Times New Roman" w:cs="Times New Roman"/>
          <w:color w:val="2C2D2E"/>
          <w:sz w:val="20"/>
          <w:szCs w:val="20"/>
          <w:lang w:eastAsia="ru-RU"/>
        </w:rPr>
        <w:t>Орынгалиев</w:t>
      </w:r>
      <w:proofErr w:type="spellEnd"/>
      <w:r w:rsidRPr="00157F23">
        <w:rPr>
          <w:rFonts w:ascii="Times New Roman" w:eastAsia="Times New Roman" w:hAnsi="Times New Roman" w:cs="Times New Roman"/>
          <w:color w:val="2C2D2E"/>
          <w:sz w:val="20"/>
          <w:szCs w:val="20"/>
          <w:lang w:eastAsia="ru-RU"/>
        </w:rPr>
        <w:t xml:space="preserve"> Аслан </w:t>
      </w:r>
      <w:proofErr w:type="spellStart"/>
      <w:r w:rsidRPr="00157F23">
        <w:rPr>
          <w:rFonts w:ascii="Times New Roman" w:eastAsia="Times New Roman" w:hAnsi="Times New Roman" w:cs="Times New Roman"/>
          <w:color w:val="2C2D2E"/>
          <w:sz w:val="20"/>
          <w:szCs w:val="20"/>
          <w:lang w:eastAsia="ru-RU"/>
        </w:rPr>
        <w:t>Абдрахманович</w:t>
      </w:r>
      <w:proofErr w:type="spellEnd"/>
      <w:r w:rsidRPr="00157F23">
        <w:rPr>
          <w:rFonts w:ascii="Times New Roman" w:eastAsia="Times New Roman" w:hAnsi="Times New Roman" w:cs="Times New Roman"/>
          <w:color w:val="2C2D2E"/>
          <w:sz w:val="20"/>
          <w:szCs w:val="20"/>
          <w:lang w:eastAsia="ru-RU"/>
        </w:rPr>
        <w:t xml:space="preserve"> 8(7242)279118, </w:t>
      </w:r>
      <w:hyperlink r:id="rId6" w:history="1">
        <w:r w:rsidRPr="00157F23">
          <w:rPr>
            <w:rFonts w:ascii="Times New Roman" w:eastAsia="Times New Roman" w:hAnsi="Times New Roman" w:cs="Times New Roman"/>
            <w:color w:val="0070F0"/>
            <w:sz w:val="20"/>
            <w:szCs w:val="20"/>
            <w:u w:val="single"/>
            <w:lang w:eastAsia="ru-RU"/>
          </w:rPr>
          <w:t>centrefuges@gmail.com</w:t>
        </w:r>
      </w:hyperlink>
    </w:p>
    <w:bookmarkEnd w:id="0"/>
    <w:p w14:paraId="5B75C355" w14:textId="77777777" w:rsidR="00157F23" w:rsidRPr="00157F23" w:rsidRDefault="00157F23" w:rsidP="00157F23">
      <w:pPr>
        <w:autoSpaceDE w:val="0"/>
        <w:autoSpaceDN w:val="0"/>
        <w:adjustRightInd w:val="0"/>
        <w:spacing w:after="0" w:line="240" w:lineRule="auto"/>
        <w:ind w:right="-224" w:firstLine="567"/>
        <w:jc w:val="both"/>
        <w:rPr>
          <w:rFonts w:ascii="Times New Roman" w:eastAsia="Calibri" w:hAnsi="Times New Roman" w:cs="Times New Roman"/>
          <w:b/>
          <w:i/>
          <w:color w:val="000000"/>
          <w:sz w:val="20"/>
          <w:szCs w:val="20"/>
        </w:rPr>
      </w:pPr>
      <w:r w:rsidRPr="00157F23">
        <w:rPr>
          <w:rFonts w:ascii="Times New Roman" w:eastAsia="Calibri" w:hAnsi="Times New Roman" w:cs="Times New Roman"/>
          <w:b/>
          <w:i/>
          <w:color w:val="000000"/>
          <w:sz w:val="20"/>
          <w:szCs w:val="20"/>
        </w:rPr>
        <w:t>4) Краткое описание намечаемой деятельности</w:t>
      </w:r>
    </w:p>
    <w:p w14:paraId="4FD383E5" w14:textId="77777777" w:rsidR="00157F23" w:rsidRPr="00157F23" w:rsidRDefault="00157F23" w:rsidP="00157F23">
      <w:pPr>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Резервуарный нефтешлам представляет собой дисперсную смесь нефтяной фазы, пластовой/технологической воды и твердых включений минерального происхождения. Для месторождения Тенгиз дополнительно учитывается наличие сернистых соединений и возможного выделения H</w:t>
      </w:r>
      <w:r w:rsidRPr="00157F23">
        <w:rPr>
          <w:rFonts w:ascii="Cambria Math" w:eastAsia="Times New Roman" w:hAnsi="Cambria Math" w:cs="Cambria Math"/>
          <w:sz w:val="20"/>
          <w:szCs w:val="20"/>
          <w:lang w:eastAsia="ru-RU"/>
        </w:rPr>
        <w:t>₂</w:t>
      </w:r>
      <w:r w:rsidRPr="00157F23">
        <w:rPr>
          <w:rFonts w:ascii="Times New Roman" w:eastAsia="Times New Roman" w:hAnsi="Times New Roman" w:cs="Times New Roman"/>
          <w:sz w:val="20"/>
          <w:szCs w:val="20"/>
          <w:lang w:eastAsia="ru-RU"/>
        </w:rPr>
        <w:t xml:space="preserve">S в газовую фазу при перемешивании и нагреве сырья. Для целей настоящего проекта приняты следующие диапазоны состава: нефть 30–50 %, вода 30–50 %, механические примеси до 20 %. Для расчета материального баланса и гидравлики приняты средние параметры: плотность 950 кг/м³, эффективная вязкость в подогретом состоянии, совместимая с режимами подачи на </w:t>
      </w:r>
      <w:proofErr w:type="spellStart"/>
      <w:r w:rsidRPr="00157F23">
        <w:rPr>
          <w:rFonts w:ascii="Times New Roman" w:eastAsia="Times New Roman" w:hAnsi="Times New Roman" w:cs="Times New Roman"/>
          <w:sz w:val="20"/>
          <w:szCs w:val="20"/>
          <w:lang w:eastAsia="ru-RU"/>
        </w:rPr>
        <w:t>декантерные</w:t>
      </w:r>
      <w:proofErr w:type="spellEnd"/>
      <w:r w:rsidRPr="00157F23">
        <w:rPr>
          <w:rFonts w:ascii="Times New Roman" w:eastAsia="Times New Roman" w:hAnsi="Times New Roman" w:cs="Times New Roman"/>
          <w:sz w:val="20"/>
          <w:szCs w:val="20"/>
          <w:lang w:eastAsia="ru-RU"/>
        </w:rPr>
        <w:t xml:space="preserve"> центрифуги.</w:t>
      </w:r>
      <w:r w:rsidRPr="00157F23">
        <w:rPr>
          <w:rFonts w:ascii="Calibri" w:eastAsia="Calibri" w:hAnsi="Calibri" w:cs="Times New Roman"/>
          <w:sz w:val="20"/>
          <w:szCs w:val="20"/>
        </w:rPr>
        <w:t xml:space="preserve"> </w:t>
      </w:r>
      <w:r w:rsidRPr="00157F23">
        <w:rPr>
          <w:rFonts w:ascii="Times New Roman" w:eastAsia="Times New Roman" w:hAnsi="Times New Roman" w:cs="Times New Roman"/>
          <w:sz w:val="20"/>
          <w:szCs w:val="20"/>
          <w:lang w:eastAsia="ru-RU"/>
        </w:rPr>
        <w:t xml:space="preserve">Комплекс предназначен для локальной переработки нефтешлама непосредственно на площадке образования или временного накопления, без транспортировки всего объема отхода на внешнюю установку. Такой подход снижает транспортные риски, уменьшает объем подлежащих вывозу отходов и позволяет вернуть полезную нефтяную фазу оператору месторождения. В состав комплекса входят: приемная емкость/зона, насосная станция, узел подогрева, блок дозирования реагентов, центрифуга CF5000 для основной трехфазной сепарации, CF3000 для дополнительной декантации, ODA20 для доочистки нефтяной фазы, WSE20 для доочистки водной фазы, а также система автоматизации, операторная и система аварийной остановки. Технологическая схема комплекса предусматривает непрерывный цикл: прием нефтешлама → подача насосом → подогрев → дозирование реагента → основная и дополнительная сепарация → отвод нефти / воды / кека. </w:t>
      </w:r>
    </w:p>
    <w:p w14:paraId="0077D73D" w14:textId="77777777" w:rsidR="00157F23" w:rsidRPr="00157F23" w:rsidRDefault="00157F23" w:rsidP="00157F23">
      <w:pPr>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 xml:space="preserve">На первой стадии сырье выравнивается и подается на подогрев для достижения требуемой текучести. Далее в поток вводится реагент для улучшения разделения эмульсий и мелкодисперсных частиц. В поток шлама перед центрифугой подается раствор флокулянта/деэмульгатора со станции приготовления полимеров. Это необходимо для коагуляции мелких частиц и улучшения разделения фаз. </w:t>
      </w:r>
    </w:p>
    <w:p w14:paraId="1088F9FB" w14:textId="77777777" w:rsidR="00157F23" w:rsidRPr="00157F23" w:rsidRDefault="00157F23" w:rsidP="00157F23">
      <w:pPr>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lastRenderedPageBreak/>
        <w:t>Применяемый реагент подбирается с учетом физико-химических свойств нефтешлама месторождения Тенгиз (в том числе повышенного содержания сернистых соединений) и может относиться к следующим типам: неионогенные и/или анионные деэмульгаторы; полимерные флокулянты; комбинированные реагенты для комплексного воздействия.</w:t>
      </w:r>
    </w:p>
    <w:p w14:paraId="71EADC36" w14:textId="77777777" w:rsidR="00157F23" w:rsidRPr="00157F23" w:rsidRDefault="00157F23" w:rsidP="00157F23">
      <w:pPr>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Подача реагента осуществляется через автоматизированный узел дозирования, интегрированный в технологическую линию перед стадией центрифугирования.</w:t>
      </w:r>
    </w:p>
    <w:p w14:paraId="5A0EFAA4" w14:textId="77777777" w:rsidR="00157F23" w:rsidRPr="00157F23" w:rsidRDefault="00157F23" w:rsidP="00157F23">
      <w:pPr>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Режим дозирования: ориентировочный расход реагента: 0,5–3,0 кг на 1 тонну нефтешлама (уточняется в ходе пусконаладочных работ);</w:t>
      </w:r>
    </w:p>
    <w:p w14:paraId="0BB240EB" w14:textId="77777777" w:rsidR="00157F23" w:rsidRPr="00157F23" w:rsidRDefault="00157F23" w:rsidP="00157F23">
      <w:pPr>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подача реагента регулируется в зависимости от: состава и обводненности нефтешлама; температуры сырья; требуемой степени разделения фаз; дозирование осуществляется в непрерывном режиме с возможностью оперативной корректировки.</w:t>
      </w:r>
    </w:p>
    <w:p w14:paraId="50713AF5" w14:textId="77777777" w:rsidR="00157F23" w:rsidRPr="00157F23" w:rsidRDefault="00157F23" w:rsidP="00157F23">
      <w:pPr>
        <w:widowControl w:val="0"/>
        <w:autoSpaceDE w:val="0"/>
        <w:autoSpaceDN w:val="0"/>
        <w:spacing w:after="0" w:line="240" w:lineRule="auto"/>
        <w:ind w:right="-224"/>
        <w:jc w:val="both"/>
        <w:rPr>
          <w:rFonts w:ascii="Times New Roman" w:eastAsia="Times New Roman" w:hAnsi="Times New Roman" w:cs="Times New Roman"/>
          <w:sz w:val="20"/>
          <w:szCs w:val="20"/>
        </w:rPr>
      </w:pPr>
      <w:r w:rsidRPr="00157F23">
        <w:rPr>
          <w:rFonts w:ascii="Times New Roman" w:eastAsia="Times New Roman" w:hAnsi="Times New Roman" w:cs="Times New Roman"/>
          <w:sz w:val="20"/>
          <w:szCs w:val="20"/>
          <w:lang w:eastAsia="ru-RU"/>
        </w:rPr>
        <w:t>Основной объем разделения выполняется в CF5000, после чего остаточные фазы направляются на CF3000, ODA20 и WSE20 для доочистки. Товарная нефть направляется в отдельную емкость и возвращается оператору месторождения. Водная фаза направляется на повторное использование или в систему дальнейшей водоподготовки. Твердый остаток временно накапливается и вывозится на лицензированный полигон.</w:t>
      </w:r>
    </w:p>
    <w:p w14:paraId="22EF9CB3" w14:textId="77777777" w:rsidR="00157F23" w:rsidRPr="00157F23" w:rsidRDefault="00157F23" w:rsidP="00157F23">
      <w:pPr>
        <w:widowControl w:val="0"/>
        <w:autoSpaceDE w:val="0"/>
        <w:autoSpaceDN w:val="0"/>
        <w:spacing w:after="0" w:line="240" w:lineRule="auto"/>
        <w:ind w:right="79" w:firstLine="567"/>
        <w:jc w:val="both"/>
        <w:rPr>
          <w:rFonts w:ascii="Times New Roman" w:eastAsia="Times New Roman" w:hAnsi="Times New Roman" w:cs="Times New Roman"/>
          <w:b/>
          <w:sz w:val="20"/>
          <w:szCs w:val="20"/>
          <w:u w:val="single"/>
        </w:rPr>
      </w:pPr>
      <w:r w:rsidRPr="00157F23">
        <w:rPr>
          <w:rFonts w:ascii="Times New Roman" w:eastAsia="Times New Roman" w:hAnsi="Times New Roman" w:cs="Times New Roman"/>
          <w:b/>
          <w:sz w:val="20"/>
          <w:szCs w:val="20"/>
          <w:u w:val="single"/>
        </w:rPr>
        <w:t>Воздействие на атмосферный воздух</w:t>
      </w:r>
    </w:p>
    <w:p w14:paraId="5D5B54BE" w14:textId="77777777" w:rsidR="00157F23" w:rsidRPr="00157F23" w:rsidRDefault="00157F23" w:rsidP="00157F23">
      <w:pPr>
        <w:widowControl w:val="0"/>
        <w:autoSpaceDE w:val="0"/>
        <w:autoSpaceDN w:val="0"/>
        <w:spacing w:after="0" w:line="240" w:lineRule="auto"/>
        <w:ind w:right="-224" w:firstLine="567"/>
        <w:jc w:val="both"/>
        <w:rPr>
          <w:rFonts w:ascii="Times New Roman" w:eastAsia="Times New Roman" w:hAnsi="Times New Roman" w:cs="Times New Roman"/>
          <w:sz w:val="20"/>
          <w:szCs w:val="20"/>
        </w:rPr>
      </w:pPr>
      <w:r w:rsidRPr="00157F23">
        <w:rPr>
          <w:rFonts w:ascii="Times New Roman" w:eastAsia="Times New Roman" w:hAnsi="Times New Roman" w:cs="Times New Roman"/>
          <w:sz w:val="20"/>
          <w:szCs w:val="20"/>
        </w:rPr>
        <w:t>Качество атмосферного воздуха, как одного из компонентов природной среды, является важным аспектом при оценке воздействия на окружающую среду и здоровье населения. Обоснование данных выбросов загрязняющих веществ в атмосферу от источников выделения выполнена с учетом действующих методик.</w:t>
      </w:r>
    </w:p>
    <w:p w14:paraId="13CEF570" w14:textId="77777777" w:rsidR="00157F23" w:rsidRPr="00157F23" w:rsidRDefault="00157F23" w:rsidP="00157F23">
      <w:pPr>
        <w:widowControl w:val="0"/>
        <w:autoSpaceDE w:val="0"/>
        <w:autoSpaceDN w:val="0"/>
        <w:spacing w:after="0" w:line="240" w:lineRule="auto"/>
        <w:ind w:right="-224"/>
        <w:jc w:val="both"/>
        <w:rPr>
          <w:rFonts w:ascii="Times New Roman" w:eastAsia="Times New Roman" w:hAnsi="Times New Roman" w:cs="Times New Roman"/>
          <w:b/>
          <w:i/>
          <w:sz w:val="20"/>
          <w:szCs w:val="20"/>
        </w:rPr>
      </w:pPr>
      <w:r w:rsidRPr="00157F23">
        <w:rPr>
          <w:rFonts w:ascii="Times New Roman" w:eastAsia="Times New Roman" w:hAnsi="Times New Roman" w:cs="Times New Roman"/>
          <w:b/>
          <w:i/>
          <w:sz w:val="20"/>
          <w:szCs w:val="20"/>
        </w:rPr>
        <w:t>Предварительная инвентаризация источников выбросов вредных веществ в атмосферу</w:t>
      </w:r>
    </w:p>
    <w:p w14:paraId="05AA7932" w14:textId="77777777" w:rsidR="00157F23" w:rsidRPr="00157F23" w:rsidRDefault="00157F23" w:rsidP="00157F23">
      <w:pPr>
        <w:tabs>
          <w:tab w:val="left" w:pos="709"/>
          <w:tab w:val="left" w:pos="993"/>
        </w:tabs>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 xml:space="preserve">Описание ожидаемых выбросов загрязняющих веществ в атмосферу: </w:t>
      </w:r>
    </w:p>
    <w:p w14:paraId="77F82CC8" w14:textId="77777777" w:rsidR="00157F23" w:rsidRPr="00157F23" w:rsidRDefault="00157F23" w:rsidP="00157F23">
      <w:pPr>
        <w:widowControl w:val="0"/>
        <w:autoSpaceDE w:val="0"/>
        <w:autoSpaceDN w:val="0"/>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 xml:space="preserve">Выбросы </w:t>
      </w:r>
      <w:r w:rsidRPr="00157F23">
        <w:rPr>
          <w:rFonts w:ascii="Times New Roman" w:eastAsia="Times New Roman" w:hAnsi="Times New Roman" w:cs="Times New Roman"/>
          <w:b/>
          <w:bCs/>
          <w:i/>
          <w:iCs/>
          <w:sz w:val="20"/>
          <w:szCs w:val="20"/>
          <w:lang w:eastAsia="ru-RU"/>
        </w:rPr>
        <w:t>на период строительства</w:t>
      </w:r>
      <w:r w:rsidRPr="00157F23">
        <w:rPr>
          <w:rFonts w:ascii="Times New Roman" w:eastAsia="Times New Roman" w:hAnsi="Times New Roman" w:cs="Times New Roman"/>
          <w:sz w:val="20"/>
          <w:szCs w:val="20"/>
          <w:lang w:eastAsia="ru-RU"/>
        </w:rPr>
        <w:t xml:space="preserve"> на 2026 год будет составлять: 4.32172905558</w:t>
      </w:r>
      <w:r w:rsidRPr="00157F23">
        <w:rPr>
          <w:rFonts w:ascii="Times New Roman" w:eastAsia="Times New Roman" w:hAnsi="Times New Roman" w:cs="Times New Roman"/>
          <w:sz w:val="20"/>
          <w:szCs w:val="20"/>
          <w:lang w:eastAsia="ru-RU"/>
        </w:rPr>
        <w:tab/>
        <w:t xml:space="preserve"> г/сек и 1.078427041 т/год.  При строительстве объекта выбрасывается в атмосферу следующие вещества: Железо (II, III) оксиды (3 класс) - 0.0000641 т/год, Марганец и его соединения (2 класс) - 0.000006935 т/год, Азота (IV) диоксид (2 класс) - 0.24918254 т/год, Азот (II) оксид (3 класс) - 0.323729683 т/год, Углерод (3 класс) - 0.0415 т/год, Сера диоксид (3 класс) - 0.083662 т/год, Углерод оксид (4 класс) - 0.2090833 т/год, Фтористые газообразные соединения (2 класс) - 0.000005918 т/год, Фториды неорганические плохо растворимые (2 класс) - 0.000004785 т/год,  Диметилбензол (3 класс) - 0.004725 т/год, Проп-2-ен-1-аль (2 класс) - 0.00996 т/год, Формальдегид (2 класс) - 0.00996 т/год, Уайт-спирит - 0.001575 т/год, Алканы С12-19 (4 класс) - 0.11044 т/год, Мазутная зола теплоэлектростанций (2 класс) - 0.00002375 т/год, Пыль неорганическая, содержащая двуокись кремния в %: 70-20 (3 класс) - 0.03450403 т/год.</w:t>
      </w:r>
    </w:p>
    <w:p w14:paraId="06DAE8A6" w14:textId="77777777" w:rsidR="00157F23" w:rsidRPr="00157F23" w:rsidRDefault="00157F23" w:rsidP="00157F23">
      <w:pPr>
        <w:widowControl w:val="0"/>
        <w:autoSpaceDE w:val="0"/>
        <w:autoSpaceDN w:val="0"/>
        <w:spacing w:after="0" w:line="240" w:lineRule="auto"/>
        <w:ind w:right="-224"/>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 xml:space="preserve">Выбросы </w:t>
      </w:r>
      <w:r w:rsidRPr="00157F23">
        <w:rPr>
          <w:rFonts w:ascii="Times New Roman" w:eastAsia="Times New Roman" w:hAnsi="Times New Roman" w:cs="Times New Roman"/>
          <w:b/>
          <w:bCs/>
          <w:i/>
          <w:iCs/>
          <w:sz w:val="20"/>
          <w:szCs w:val="20"/>
          <w:lang w:eastAsia="ru-RU"/>
        </w:rPr>
        <w:t>на период эксплуатации</w:t>
      </w:r>
      <w:r w:rsidRPr="00157F23">
        <w:rPr>
          <w:rFonts w:ascii="Times New Roman" w:eastAsia="Times New Roman" w:hAnsi="Times New Roman" w:cs="Times New Roman"/>
          <w:sz w:val="20"/>
          <w:szCs w:val="20"/>
          <w:lang w:eastAsia="ru-RU"/>
        </w:rPr>
        <w:t xml:space="preserve"> на 2026-2035 годы будут составлять: 19.2710412667 г/сек и 21.392795 т/год. При проведении проектируемых работ от стационарных источников выбрасывается в атмосферу следующие вещества с 1 по 4 класс опасности (на этапе эксплуатации):</w:t>
      </w:r>
      <w:r w:rsidRPr="00157F23">
        <w:rPr>
          <w:rFonts w:ascii="Times New Roman" w:eastAsia="Times New Roman" w:hAnsi="Times New Roman" w:cs="Times New Roman"/>
          <w:sz w:val="20"/>
          <w:szCs w:val="20"/>
        </w:rPr>
        <w:t xml:space="preserve"> </w:t>
      </w:r>
      <w:r w:rsidRPr="00157F23">
        <w:rPr>
          <w:rFonts w:ascii="Times New Roman" w:eastAsia="Times New Roman" w:hAnsi="Times New Roman" w:cs="Times New Roman"/>
          <w:sz w:val="20"/>
          <w:szCs w:val="20"/>
          <w:lang w:eastAsia="ru-RU"/>
        </w:rPr>
        <w:t>Азота (IV) диоксид (2 класс) - 2.4539 т/год, Азот (II) оксид (3 класс) - 1.35867 т/год, Углерод (3 класс) 0.26665 т/год,  Сера диоксид (3 класс) - 3.2453 т/год, Сероводород (2 класс) - 0.00523296 т/год, Углерод оксид  (4класс) - 7.70325 т/год, Смесь углеводородов предельных С1-С5 (1502*) - 4.0095518 т/год, Смесь углеводородов предельных С6-С10 (1503*) - 1.480044 т/год, Бензол (2 класс) - 0.0193755 т/год, Диметилбензол (3 класс) - 0.0060823 т/год, Метилбензол (3класс) - 0.0121426 т/год, Проп-2-ен-1-аль (2 класс) - 0.033756  т/год,    Формальдегид (</w:t>
      </w:r>
      <w:proofErr w:type="spellStart"/>
      <w:r w:rsidRPr="00157F23">
        <w:rPr>
          <w:rFonts w:ascii="Times New Roman" w:eastAsia="Times New Roman" w:hAnsi="Times New Roman" w:cs="Times New Roman"/>
          <w:sz w:val="20"/>
          <w:szCs w:val="20"/>
          <w:lang w:eastAsia="ru-RU"/>
        </w:rPr>
        <w:t>Метаналь</w:t>
      </w:r>
      <w:proofErr w:type="spellEnd"/>
      <w:r w:rsidRPr="00157F23">
        <w:rPr>
          <w:rFonts w:ascii="Times New Roman" w:eastAsia="Times New Roman" w:hAnsi="Times New Roman" w:cs="Times New Roman"/>
          <w:sz w:val="20"/>
          <w:szCs w:val="20"/>
          <w:lang w:eastAsia="ru-RU"/>
        </w:rPr>
        <w:t xml:space="preserve">) (2 класс) - 0.033756 т/год, Алканы С12-19  (4 класс) - 0.76508384 т/год. </w:t>
      </w:r>
    </w:p>
    <w:p w14:paraId="171BE2AD" w14:textId="77777777" w:rsidR="00157F23" w:rsidRPr="00157F23" w:rsidRDefault="00157F23" w:rsidP="00157F23">
      <w:pPr>
        <w:tabs>
          <w:tab w:val="left" w:pos="709"/>
          <w:tab w:val="left" w:pos="993"/>
        </w:tabs>
        <w:spacing w:after="0" w:line="240" w:lineRule="auto"/>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Количественные параметры выбросов, полученные в результате предварительной оценки, являются ориентировочными.</w:t>
      </w:r>
    </w:p>
    <w:p w14:paraId="23D3CD6F" w14:textId="77777777" w:rsidR="00157F23" w:rsidRPr="00157F23" w:rsidRDefault="00157F23" w:rsidP="00157F23">
      <w:pPr>
        <w:tabs>
          <w:tab w:val="left" w:pos="709"/>
          <w:tab w:val="left" w:pos="993"/>
        </w:tabs>
        <w:spacing w:after="0" w:line="240" w:lineRule="auto"/>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Количественный и качественный состав выбросов от источников загрязнения проектируемых работ, подлежащий утверждению в качестве нормативов НДВ, будет определен на следующих стадиях проектирования, когда точно будут известны технические решения по составу работ и оборудования, являющихся источниками загрязнения атмосферного воздуха.</w:t>
      </w:r>
    </w:p>
    <w:p w14:paraId="0F7CD2D9" w14:textId="77777777" w:rsidR="00157F23" w:rsidRPr="00157F23" w:rsidRDefault="00157F23" w:rsidP="00157F23">
      <w:pPr>
        <w:tabs>
          <w:tab w:val="left" w:pos="709"/>
          <w:tab w:val="left" w:pos="993"/>
        </w:tabs>
        <w:spacing w:after="0" w:line="240" w:lineRule="auto"/>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Необходимо учитывать, что в данном проекте приведены ориентировочные предварительные расчетные данные по выбросам загрязняющих веществ в атмосферу.</w:t>
      </w:r>
    </w:p>
    <w:p w14:paraId="42B19929" w14:textId="77777777" w:rsidR="00157F23" w:rsidRPr="00157F23" w:rsidRDefault="00157F23" w:rsidP="00157F23">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57F23">
        <w:rPr>
          <w:rFonts w:ascii="Times New Roman" w:eastAsia="Times New Roman" w:hAnsi="Times New Roman" w:cs="Times New Roman"/>
          <w:sz w:val="20"/>
          <w:szCs w:val="20"/>
          <w:lang w:eastAsia="ru-RU"/>
        </w:rPr>
        <w:t xml:space="preserve">Описание отходов, управление которыми относится к намечаемой деятельности: </w:t>
      </w:r>
      <w:r w:rsidRPr="00157F23">
        <w:rPr>
          <w:rFonts w:ascii="Times New Roman" w:eastAsia="Calibri" w:hAnsi="Times New Roman" w:cs="Times New Roman"/>
          <w:sz w:val="20"/>
          <w:szCs w:val="20"/>
        </w:rPr>
        <w:t>На период строительство на 2026 год общий 14,272797 т/год, в том числе: Отходы лакокрасочных материалов (ЛКМ)</w:t>
      </w:r>
      <w:r w:rsidRPr="00157F23">
        <w:rPr>
          <w:rFonts w:ascii="Times New Roman" w:eastAsia="Microsoft Sans Serif" w:hAnsi="Times New Roman" w:cs="Times New Roman"/>
          <w:sz w:val="20"/>
          <w:szCs w:val="20"/>
        </w:rPr>
        <w:t xml:space="preserve"> (08 01</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pacing w:val="-5"/>
          <w:sz w:val="20"/>
          <w:szCs w:val="20"/>
        </w:rPr>
        <w:t>11*), опасные</w:t>
      </w:r>
      <w:r w:rsidRPr="00157F23">
        <w:rPr>
          <w:rFonts w:ascii="Times New Roman" w:eastAsia="Calibri" w:hAnsi="Times New Roman" w:cs="Times New Roman"/>
          <w:sz w:val="20"/>
          <w:szCs w:val="20"/>
        </w:rPr>
        <w:t xml:space="preserve">  - 0,0028 т/год, класс опасности: III–IV, остатки лакокрасочных материалов, загрязненная тара, содержащая органические растворители. Металлолом (20 01 04</w:t>
      </w:r>
      <w:r w:rsidRPr="00157F23">
        <w:rPr>
          <w:rFonts w:ascii="Times New Roman" w:eastAsia="Calibri" w:hAnsi="Times New Roman" w:cs="Times New Roman"/>
          <w:spacing w:val="-1"/>
          <w:sz w:val="20"/>
          <w:szCs w:val="20"/>
        </w:rPr>
        <w:t xml:space="preserve">), неопасные </w:t>
      </w:r>
      <w:r w:rsidRPr="00157F23">
        <w:rPr>
          <w:rFonts w:ascii="Times New Roman" w:eastAsia="Calibri" w:hAnsi="Times New Roman" w:cs="Times New Roman"/>
          <w:sz w:val="20"/>
          <w:szCs w:val="20"/>
        </w:rPr>
        <w:t>-  1,4403 т/год   Класс опасности: V,  отходы черных металлов, образующиеся при монтажных работах.  Твердо-бытовые отходы (ТБО)</w:t>
      </w:r>
      <w:r w:rsidRPr="00157F23">
        <w:rPr>
          <w:rFonts w:ascii="Times New Roman" w:eastAsia="Microsoft Sans Serif" w:hAnsi="Times New Roman" w:cs="Times New Roman"/>
          <w:sz w:val="20"/>
          <w:szCs w:val="20"/>
        </w:rPr>
        <w:t xml:space="preserve"> (20</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z w:val="20"/>
          <w:szCs w:val="20"/>
        </w:rPr>
        <w:t>03</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pacing w:val="-7"/>
          <w:sz w:val="20"/>
          <w:szCs w:val="20"/>
        </w:rPr>
        <w:t>01), неопасные</w:t>
      </w:r>
      <w:r w:rsidRPr="00157F23">
        <w:rPr>
          <w:rFonts w:ascii="Times New Roman" w:eastAsia="Calibri" w:hAnsi="Times New Roman" w:cs="Times New Roman"/>
          <w:sz w:val="20"/>
          <w:szCs w:val="20"/>
        </w:rPr>
        <w:t xml:space="preserve"> - 0,225 т/год, Класс опасности: IV–V, отходы жизнедеятельности персонала. Огарки сварочных электродов (</w:t>
      </w:r>
      <w:r w:rsidRPr="00157F23">
        <w:rPr>
          <w:rFonts w:ascii="Times New Roman" w:eastAsia="Microsoft Sans Serif" w:hAnsi="Times New Roman" w:cs="Times New Roman"/>
          <w:sz w:val="20"/>
          <w:szCs w:val="20"/>
        </w:rPr>
        <w:t>20 01 04</w:t>
      </w:r>
      <w:r w:rsidRPr="00157F23">
        <w:rPr>
          <w:rFonts w:ascii="Times New Roman" w:eastAsia="Microsoft Sans Serif" w:hAnsi="Times New Roman" w:cs="Times New Roman"/>
          <w:spacing w:val="-7"/>
          <w:sz w:val="20"/>
          <w:szCs w:val="20"/>
        </w:rPr>
        <w:t>), неопасные</w:t>
      </w:r>
      <w:r w:rsidRPr="00157F23">
        <w:rPr>
          <w:rFonts w:ascii="Times New Roman" w:eastAsia="Calibri" w:hAnsi="Times New Roman" w:cs="Times New Roman"/>
          <w:sz w:val="20"/>
          <w:szCs w:val="20"/>
        </w:rPr>
        <w:t xml:space="preserve"> -  0,000097 т/год, Класс опасности: IV, остатки сварочных материалов. Строительные отходы (</w:t>
      </w:r>
      <w:r w:rsidRPr="00157F23">
        <w:rPr>
          <w:rFonts w:ascii="Times New Roman" w:eastAsia="Microsoft Sans Serif" w:hAnsi="Times New Roman" w:cs="Times New Roman"/>
          <w:sz w:val="20"/>
          <w:szCs w:val="20"/>
        </w:rPr>
        <w:t>17</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z w:val="20"/>
          <w:szCs w:val="20"/>
        </w:rPr>
        <w:t>09</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pacing w:val="-7"/>
          <w:sz w:val="20"/>
          <w:szCs w:val="20"/>
        </w:rPr>
        <w:t>04), неопасные</w:t>
      </w:r>
      <w:r w:rsidRPr="00157F23">
        <w:rPr>
          <w:rFonts w:ascii="Times New Roman" w:eastAsia="Calibri" w:hAnsi="Times New Roman" w:cs="Times New Roman"/>
          <w:sz w:val="20"/>
          <w:szCs w:val="20"/>
        </w:rPr>
        <w:t xml:space="preserve">  -   12,5926 т/год,  Класс опасности: IV–V , инертные отходы (бетон, щебень, грунт и др.). Изношенные средства индивидуальной защиты и спецодежда (</w:t>
      </w:r>
      <w:r w:rsidRPr="00157F23">
        <w:rPr>
          <w:rFonts w:ascii="Times New Roman" w:eastAsia="Calibri" w:hAnsi="Times New Roman" w:cs="Times New Roman"/>
          <w:color w:val="000000"/>
          <w:sz w:val="20"/>
          <w:szCs w:val="20"/>
          <w:lang w:eastAsia="ru-RU"/>
        </w:rPr>
        <w:t xml:space="preserve">04 03 14), неопасные </w:t>
      </w:r>
      <w:r w:rsidRPr="00157F23">
        <w:rPr>
          <w:rFonts w:ascii="Times New Roman" w:eastAsia="Calibri" w:hAnsi="Times New Roman" w:cs="Times New Roman"/>
          <w:sz w:val="20"/>
          <w:szCs w:val="20"/>
        </w:rPr>
        <w:t>-  0,012 т/год,   Класс опасности: IV,  загрязненные текстильные материалы. На период эксплуатации на 2026-2035 годы общий 20001,59783 т/год, в том числе:  Промасленная ветошь (</w:t>
      </w:r>
      <w:r w:rsidRPr="00157F23">
        <w:rPr>
          <w:rFonts w:ascii="Times New Roman" w:eastAsia="Microsoft Sans Serif" w:hAnsi="Times New Roman" w:cs="Times New Roman"/>
          <w:sz w:val="20"/>
          <w:szCs w:val="20"/>
        </w:rPr>
        <w:t>15 02</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pacing w:val="-5"/>
          <w:sz w:val="20"/>
          <w:szCs w:val="20"/>
        </w:rPr>
        <w:t>02*), малоопасные</w:t>
      </w:r>
      <w:r w:rsidRPr="00157F23">
        <w:rPr>
          <w:rFonts w:ascii="Times New Roman" w:eastAsia="Calibri" w:hAnsi="Times New Roman" w:cs="Times New Roman"/>
          <w:sz w:val="20"/>
          <w:szCs w:val="20"/>
        </w:rPr>
        <w:t xml:space="preserve"> - 1,016 т/год, Класс опасности: III, обтирочные материалы, загрязненные нефтепродуктами. Отработанные фильтры (</w:t>
      </w:r>
      <w:r w:rsidRPr="00157F23">
        <w:rPr>
          <w:rFonts w:ascii="Times New Roman" w:eastAsia="Calibri" w:hAnsi="Times New Roman" w:cs="Times New Roman"/>
          <w:spacing w:val="-1"/>
          <w:sz w:val="20"/>
          <w:szCs w:val="20"/>
        </w:rPr>
        <w:t xml:space="preserve">15 02 02*), умеренно опасные </w:t>
      </w:r>
      <w:r w:rsidRPr="00157F23">
        <w:rPr>
          <w:rFonts w:ascii="Times New Roman" w:eastAsia="Calibri" w:hAnsi="Times New Roman" w:cs="Times New Roman"/>
          <w:sz w:val="20"/>
          <w:szCs w:val="20"/>
        </w:rPr>
        <w:t xml:space="preserve"> - 0,00183 т/год,  Класс опасности: III–IV,  фильтрующие элементы с остатками нефтепродуктов. Водно-щелочной раствор после очистки углеводородов от сернистых соединений (151303), умеренно опасные - 10 000 т/год, Класс </w:t>
      </w:r>
      <w:r w:rsidRPr="00157F23">
        <w:rPr>
          <w:rFonts w:ascii="Times New Roman" w:eastAsia="Calibri" w:hAnsi="Times New Roman" w:cs="Times New Roman"/>
          <w:sz w:val="20"/>
          <w:szCs w:val="20"/>
        </w:rPr>
        <w:lastRenderedPageBreak/>
        <w:t xml:space="preserve">опасности: II–III, жидкие отходы, содержащие щелочь и растворенные сернистые соединения. Твердый осадок (191099), малоопасные -  10 000 т/год,  Класс опасности: III–IV, продукты переработки нефтешлама. Твердо-бытовые отходы (ТБО) </w:t>
      </w:r>
      <w:r w:rsidRPr="00157F23">
        <w:rPr>
          <w:rFonts w:ascii="Times New Roman" w:eastAsia="Microsoft Sans Serif" w:hAnsi="Times New Roman" w:cs="Times New Roman"/>
          <w:sz w:val="20"/>
          <w:szCs w:val="20"/>
        </w:rPr>
        <w:t>(20</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z w:val="20"/>
          <w:szCs w:val="20"/>
        </w:rPr>
        <w:t>03</w:t>
      </w:r>
      <w:r w:rsidRPr="00157F23">
        <w:rPr>
          <w:rFonts w:ascii="Times New Roman" w:eastAsia="Microsoft Sans Serif" w:hAnsi="Times New Roman" w:cs="Times New Roman"/>
          <w:spacing w:val="-2"/>
          <w:sz w:val="20"/>
          <w:szCs w:val="20"/>
        </w:rPr>
        <w:t xml:space="preserve"> </w:t>
      </w:r>
      <w:r w:rsidRPr="00157F23">
        <w:rPr>
          <w:rFonts w:ascii="Times New Roman" w:eastAsia="Microsoft Sans Serif" w:hAnsi="Times New Roman" w:cs="Times New Roman"/>
          <w:spacing w:val="-7"/>
          <w:sz w:val="20"/>
          <w:szCs w:val="20"/>
        </w:rPr>
        <w:t xml:space="preserve">01), неопасные </w:t>
      </w:r>
      <w:proofErr w:type="gramStart"/>
      <w:r w:rsidRPr="00157F23">
        <w:rPr>
          <w:rFonts w:ascii="Times New Roman" w:eastAsia="Microsoft Sans Serif" w:hAnsi="Times New Roman" w:cs="Times New Roman"/>
          <w:spacing w:val="-7"/>
          <w:sz w:val="20"/>
          <w:szCs w:val="20"/>
        </w:rPr>
        <w:t xml:space="preserve">- </w:t>
      </w:r>
      <w:r w:rsidRPr="00157F23">
        <w:rPr>
          <w:rFonts w:ascii="Times New Roman" w:eastAsia="Calibri" w:hAnsi="Times New Roman" w:cs="Times New Roman"/>
          <w:sz w:val="20"/>
          <w:szCs w:val="20"/>
        </w:rPr>
        <w:t xml:space="preserve"> 0</w:t>
      </w:r>
      <w:proofErr w:type="gramEnd"/>
      <w:r w:rsidRPr="00157F23">
        <w:rPr>
          <w:rFonts w:ascii="Times New Roman" w:eastAsia="Calibri" w:hAnsi="Times New Roman" w:cs="Times New Roman"/>
          <w:sz w:val="20"/>
          <w:szCs w:val="20"/>
        </w:rPr>
        <w:t>,55 т/</w:t>
      </w:r>
      <w:proofErr w:type="gramStart"/>
      <w:r w:rsidRPr="00157F23">
        <w:rPr>
          <w:rFonts w:ascii="Times New Roman" w:eastAsia="Calibri" w:hAnsi="Times New Roman" w:cs="Times New Roman"/>
          <w:sz w:val="20"/>
          <w:szCs w:val="20"/>
        </w:rPr>
        <w:t>год ,</w:t>
      </w:r>
      <w:proofErr w:type="gramEnd"/>
      <w:r w:rsidRPr="00157F23">
        <w:rPr>
          <w:rFonts w:ascii="Times New Roman" w:eastAsia="Calibri" w:hAnsi="Times New Roman" w:cs="Times New Roman"/>
          <w:sz w:val="20"/>
          <w:szCs w:val="20"/>
        </w:rPr>
        <w:t xml:space="preserve"> Класс опасности: IV–V, отходы жизнедеятельности персонала. Изношенные средства индивидуальной защиты и спецодежда (</w:t>
      </w:r>
      <w:r w:rsidRPr="00157F23">
        <w:rPr>
          <w:rFonts w:ascii="Times New Roman" w:eastAsia="Calibri" w:hAnsi="Times New Roman" w:cs="Times New Roman"/>
          <w:color w:val="000000"/>
          <w:sz w:val="20"/>
          <w:szCs w:val="20"/>
          <w:lang w:eastAsia="ru-RU"/>
        </w:rPr>
        <w:t>04 03 14), неопасные</w:t>
      </w:r>
      <w:r w:rsidRPr="00157F23">
        <w:rPr>
          <w:rFonts w:ascii="Times New Roman" w:eastAsia="Calibri" w:hAnsi="Times New Roman" w:cs="Times New Roman"/>
          <w:sz w:val="20"/>
          <w:szCs w:val="20"/>
        </w:rPr>
        <w:t xml:space="preserve"> - 0,03 т/год,  Класс опасности: IV, загрязненные текстильные отходы. </w:t>
      </w:r>
    </w:p>
    <w:p w14:paraId="324D9AEE" w14:textId="77777777" w:rsidR="00157F23" w:rsidRPr="00157F23" w:rsidRDefault="00157F23" w:rsidP="00157F23">
      <w:pPr>
        <w:autoSpaceDE w:val="0"/>
        <w:autoSpaceDN w:val="0"/>
        <w:adjustRightInd w:val="0"/>
        <w:spacing w:after="0" w:line="240" w:lineRule="auto"/>
        <w:ind w:firstLine="567"/>
        <w:jc w:val="both"/>
        <w:rPr>
          <w:rFonts w:ascii="Times New Roman" w:eastAsia="Calibri" w:hAnsi="Times New Roman" w:cs="Times New Roman"/>
          <w:b/>
          <w:i/>
          <w:color w:val="000000"/>
          <w:sz w:val="20"/>
          <w:szCs w:val="20"/>
        </w:rPr>
      </w:pPr>
      <w:r w:rsidRPr="00157F23">
        <w:rPr>
          <w:rFonts w:ascii="Times New Roman" w:eastAsia="Calibri" w:hAnsi="Times New Roman" w:cs="Times New Roman"/>
          <w:b/>
          <w:i/>
          <w:color w:val="000000"/>
          <w:sz w:val="20"/>
          <w:szCs w:val="20"/>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663D588D"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Целью намечаемой деятельности является переработка нефтешлама и донных отложений с минимизацией воздействия на окружающую среду.</w:t>
      </w:r>
    </w:p>
    <w:p w14:paraId="5A7B0CFC"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 xml:space="preserve">В случае отказа от реализации проекта переработка нефтешлама и донных отложений осуществляться не будет, что приведет к дальнейшему накоплению отходов на территории месторождения и увеличению потенциальной экологической нагрузки (загрязнение почв, риск вторичного загрязнения атмосферного воздуха и подземных вод). </w:t>
      </w:r>
    </w:p>
    <w:p w14:paraId="3DAE11BD"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 xml:space="preserve">Выбранный вариант с применением </w:t>
      </w:r>
      <w:proofErr w:type="spellStart"/>
      <w:r w:rsidRPr="00157F23">
        <w:rPr>
          <w:rFonts w:ascii="Times New Roman" w:eastAsia="Times New Roman" w:hAnsi="Times New Roman" w:cs="Times New Roman"/>
          <w:kern w:val="3"/>
          <w:sz w:val="20"/>
          <w:szCs w:val="20"/>
          <w:lang w:eastAsia="zh-CN"/>
        </w:rPr>
        <w:t>трикантерной</w:t>
      </w:r>
      <w:proofErr w:type="spellEnd"/>
      <w:r w:rsidRPr="00157F23">
        <w:rPr>
          <w:rFonts w:ascii="Times New Roman" w:eastAsia="Times New Roman" w:hAnsi="Times New Roman" w:cs="Times New Roman"/>
          <w:kern w:val="3"/>
          <w:sz w:val="20"/>
          <w:szCs w:val="20"/>
          <w:lang w:eastAsia="zh-CN"/>
        </w:rPr>
        <w:t xml:space="preserve"> центрифуги является оптимальным, так как обеспечивает эффективное разделение отходов, снижение их объема и минимизацию выбросов.</w:t>
      </w:r>
    </w:p>
    <w:p w14:paraId="59EB529B"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 xml:space="preserve">Сравнительная характеристика:  при существующем положении наблюдается накопление нефтешлама и потенциальное загрязнение окружающей среды; при реализации проекта осуществляется переработка отходов, снижение их объемов и контролируемые выбросы. По сравнению с существующим положением, намечаемая деятельность позволяет снизить негативное воздействие на окружающую среду за счет внедрения технологических решений с замкнутым циклом переработки. </w:t>
      </w:r>
    </w:p>
    <w:p w14:paraId="33CCE112"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Выбросы загрязняющих веществ в атмосферный воздух:- на этапе строительства — носят временный характер; - на этапе эксплуатации — осуществляются от организованных и неорганизованных источников и являются контролируемыми.</w:t>
      </w:r>
    </w:p>
    <w:p w14:paraId="55E3446F"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Ближайшие населенные пункты расположены на значительном удалении от объекта:</w:t>
      </w:r>
    </w:p>
    <w:p w14:paraId="0AC52873"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 xml:space="preserve">- г. Кульсары — около 80–110 км;  </w:t>
      </w:r>
    </w:p>
    <w:p w14:paraId="48AD7A40" w14:textId="1F496092"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 xml:space="preserve">- п. </w:t>
      </w:r>
      <w:proofErr w:type="spellStart"/>
      <w:r w:rsidRPr="00157F23">
        <w:rPr>
          <w:rFonts w:ascii="Times New Roman" w:eastAsia="Times New Roman" w:hAnsi="Times New Roman" w:cs="Times New Roman"/>
          <w:kern w:val="3"/>
          <w:sz w:val="20"/>
          <w:szCs w:val="20"/>
          <w:lang w:eastAsia="zh-CN"/>
        </w:rPr>
        <w:t>Майкомген</w:t>
      </w:r>
      <w:proofErr w:type="spellEnd"/>
      <w:r w:rsidR="00CB7C9C">
        <w:rPr>
          <w:rFonts w:ascii="Times New Roman" w:eastAsia="Times New Roman" w:hAnsi="Times New Roman" w:cs="Times New Roman"/>
          <w:kern w:val="3"/>
          <w:sz w:val="20"/>
          <w:szCs w:val="20"/>
          <w:lang w:eastAsia="zh-CN"/>
        </w:rPr>
        <w:t xml:space="preserve"> </w:t>
      </w:r>
      <w:r w:rsidRPr="00157F23">
        <w:rPr>
          <w:rFonts w:ascii="Times New Roman" w:eastAsia="Times New Roman" w:hAnsi="Times New Roman" w:cs="Times New Roman"/>
          <w:kern w:val="3"/>
          <w:sz w:val="20"/>
          <w:szCs w:val="20"/>
          <w:lang w:eastAsia="zh-CN"/>
        </w:rPr>
        <w:t xml:space="preserve">— </w:t>
      </w:r>
      <w:r w:rsidR="00CB7C9C">
        <w:rPr>
          <w:rFonts w:ascii="Times New Roman" w:eastAsia="Times New Roman" w:hAnsi="Times New Roman" w:cs="Times New Roman"/>
          <w:kern w:val="3"/>
          <w:sz w:val="20"/>
          <w:szCs w:val="20"/>
          <w:lang w:eastAsia="zh-CN"/>
        </w:rPr>
        <w:t>около</w:t>
      </w:r>
      <w:r w:rsidRPr="00157F23">
        <w:rPr>
          <w:rFonts w:ascii="Times New Roman" w:eastAsia="Times New Roman" w:hAnsi="Times New Roman" w:cs="Times New Roman"/>
          <w:kern w:val="3"/>
          <w:sz w:val="20"/>
          <w:szCs w:val="20"/>
          <w:lang w:eastAsia="zh-CN"/>
        </w:rPr>
        <w:t xml:space="preserve"> </w:t>
      </w:r>
      <w:r w:rsidR="00CB7C9C">
        <w:rPr>
          <w:rFonts w:ascii="Times New Roman" w:eastAsia="Times New Roman" w:hAnsi="Times New Roman" w:cs="Times New Roman"/>
          <w:kern w:val="3"/>
          <w:sz w:val="20"/>
          <w:szCs w:val="20"/>
          <w:lang w:eastAsia="zh-CN"/>
        </w:rPr>
        <w:t>74</w:t>
      </w:r>
      <w:r w:rsidRPr="00157F23">
        <w:rPr>
          <w:rFonts w:ascii="Times New Roman" w:eastAsia="Times New Roman" w:hAnsi="Times New Roman" w:cs="Times New Roman"/>
          <w:kern w:val="3"/>
          <w:sz w:val="20"/>
          <w:szCs w:val="20"/>
          <w:lang w:eastAsia="zh-CN"/>
        </w:rPr>
        <w:t xml:space="preserve"> км.</w:t>
      </w:r>
    </w:p>
    <w:p w14:paraId="4237C51D" w14:textId="77777777" w:rsidR="00157F23" w:rsidRPr="00157F23" w:rsidRDefault="00157F23" w:rsidP="00157F23">
      <w:pPr>
        <w:suppressAutoHyphens/>
        <w:autoSpaceDN w:val="0"/>
        <w:spacing w:after="0" w:line="240" w:lineRule="auto"/>
        <w:jc w:val="both"/>
        <w:textAlignment w:val="baseline"/>
        <w:rPr>
          <w:rFonts w:ascii="Times New Roman" w:eastAsia="Times New Roman" w:hAnsi="Times New Roman" w:cs="Times New Roman"/>
          <w:kern w:val="3"/>
          <w:sz w:val="20"/>
          <w:szCs w:val="20"/>
          <w:lang w:eastAsia="zh-CN"/>
        </w:rPr>
      </w:pPr>
      <w:r w:rsidRPr="00157F23">
        <w:rPr>
          <w:rFonts w:ascii="Times New Roman" w:eastAsia="Times New Roman" w:hAnsi="Times New Roman" w:cs="Times New Roman"/>
          <w:kern w:val="3"/>
          <w:sz w:val="20"/>
          <w:szCs w:val="20"/>
          <w:lang w:eastAsia="zh-CN"/>
        </w:rPr>
        <w:t xml:space="preserve">Ранее расположенные ближе населенные пункты (Каратон, Сарыкамыс, ферма </w:t>
      </w:r>
      <w:proofErr w:type="spellStart"/>
      <w:r w:rsidRPr="00157F23">
        <w:rPr>
          <w:rFonts w:ascii="Times New Roman" w:eastAsia="Times New Roman" w:hAnsi="Times New Roman" w:cs="Times New Roman"/>
          <w:kern w:val="3"/>
          <w:sz w:val="20"/>
          <w:szCs w:val="20"/>
          <w:lang w:eastAsia="zh-CN"/>
        </w:rPr>
        <w:t>Кенарал</w:t>
      </w:r>
      <w:proofErr w:type="spellEnd"/>
      <w:r w:rsidRPr="00157F23">
        <w:rPr>
          <w:rFonts w:ascii="Times New Roman" w:eastAsia="Times New Roman" w:hAnsi="Times New Roman" w:cs="Times New Roman"/>
          <w:kern w:val="3"/>
          <w:sz w:val="20"/>
          <w:szCs w:val="20"/>
          <w:lang w:eastAsia="zh-CN"/>
        </w:rPr>
        <w:t xml:space="preserve"> и др.) переселены за пределы санитарно-защитной зоны. </w:t>
      </w:r>
    </w:p>
    <w:p w14:paraId="7091B788" w14:textId="77777777" w:rsidR="00157F23" w:rsidRPr="00157F23" w:rsidRDefault="00157F23" w:rsidP="00157F23">
      <w:pPr>
        <w:spacing w:after="0" w:line="240" w:lineRule="auto"/>
        <w:jc w:val="both"/>
        <w:rPr>
          <w:rFonts w:ascii="Times New Roman" w:eastAsia="MS Mincho" w:hAnsi="Times New Roman" w:cs="Times New Roman"/>
          <w:sz w:val="20"/>
          <w:szCs w:val="20"/>
        </w:rPr>
      </w:pPr>
      <w:r w:rsidRPr="00157F23">
        <w:rPr>
          <w:rFonts w:ascii="Times New Roman" w:eastAsia="MS Mincho" w:hAnsi="Times New Roman" w:cs="Times New Roman"/>
          <w:sz w:val="20"/>
          <w:szCs w:val="20"/>
        </w:rPr>
        <w:t>Питание комплекса предусматривается от промышленной сети 380 В. Суммарная установленная мощность по составу оборудования оценивается порядка 220 кВт без учета временных пусковых перегрузок. Щитовое оборудование размещается в контейнере управления с отдельным контуром заземления и защитой от короткого замыкания и перегрузки.</w:t>
      </w:r>
    </w:p>
    <w:p w14:paraId="213ADFFC" w14:textId="77777777" w:rsidR="00157F23" w:rsidRPr="00157F23" w:rsidRDefault="00157F23" w:rsidP="00157F23">
      <w:pPr>
        <w:spacing w:after="0" w:line="240" w:lineRule="auto"/>
        <w:jc w:val="both"/>
        <w:rPr>
          <w:rFonts w:ascii="Times New Roman" w:eastAsia="MS Mincho" w:hAnsi="Times New Roman" w:cs="Times New Roman"/>
          <w:sz w:val="20"/>
          <w:szCs w:val="20"/>
        </w:rPr>
      </w:pPr>
      <w:r w:rsidRPr="00157F23">
        <w:rPr>
          <w:rFonts w:ascii="Times New Roman" w:eastAsia="MS Mincho" w:hAnsi="Times New Roman" w:cs="Times New Roman"/>
          <w:sz w:val="20"/>
          <w:szCs w:val="20"/>
        </w:rPr>
        <w:t xml:space="preserve">Автоматизация охватывает контроль температуры, давления, расхода, уровня и вибрации. На ключевых узлах предусматриваются </w:t>
      </w:r>
      <w:r w:rsidRPr="00157F23">
        <w:rPr>
          <w:rFonts w:ascii="Times New Roman" w:eastAsia="MS Mincho" w:hAnsi="Times New Roman" w:cs="Times New Roman"/>
          <w:sz w:val="20"/>
          <w:szCs w:val="20"/>
          <w:lang w:val="en-US"/>
        </w:rPr>
        <w:t>TI</w:t>
      </w:r>
      <w:r w:rsidRPr="00157F23">
        <w:rPr>
          <w:rFonts w:ascii="Times New Roman" w:eastAsia="MS Mincho" w:hAnsi="Times New Roman" w:cs="Times New Roman"/>
          <w:sz w:val="20"/>
          <w:szCs w:val="20"/>
        </w:rPr>
        <w:t xml:space="preserve">, </w:t>
      </w:r>
      <w:r w:rsidRPr="00157F23">
        <w:rPr>
          <w:rFonts w:ascii="Times New Roman" w:eastAsia="MS Mincho" w:hAnsi="Times New Roman" w:cs="Times New Roman"/>
          <w:sz w:val="20"/>
          <w:szCs w:val="20"/>
          <w:lang w:val="en-US"/>
        </w:rPr>
        <w:t>PI</w:t>
      </w:r>
      <w:r w:rsidRPr="00157F23">
        <w:rPr>
          <w:rFonts w:ascii="Times New Roman" w:eastAsia="MS Mincho" w:hAnsi="Times New Roman" w:cs="Times New Roman"/>
          <w:sz w:val="20"/>
          <w:szCs w:val="20"/>
        </w:rPr>
        <w:t xml:space="preserve">, </w:t>
      </w:r>
      <w:r w:rsidRPr="00157F23">
        <w:rPr>
          <w:rFonts w:ascii="Times New Roman" w:eastAsia="MS Mincho" w:hAnsi="Times New Roman" w:cs="Times New Roman"/>
          <w:sz w:val="20"/>
          <w:szCs w:val="20"/>
          <w:lang w:val="en-US"/>
        </w:rPr>
        <w:t>FI</w:t>
      </w:r>
      <w:r w:rsidRPr="00157F23">
        <w:rPr>
          <w:rFonts w:ascii="Times New Roman" w:eastAsia="MS Mincho" w:hAnsi="Times New Roman" w:cs="Times New Roman"/>
          <w:sz w:val="20"/>
          <w:szCs w:val="20"/>
        </w:rPr>
        <w:t xml:space="preserve"> и </w:t>
      </w:r>
      <w:r w:rsidRPr="00157F23">
        <w:rPr>
          <w:rFonts w:ascii="Times New Roman" w:eastAsia="MS Mincho" w:hAnsi="Times New Roman" w:cs="Times New Roman"/>
          <w:sz w:val="20"/>
          <w:szCs w:val="20"/>
          <w:lang w:val="en-US"/>
        </w:rPr>
        <w:t>LI</w:t>
      </w:r>
      <w:r w:rsidRPr="00157F23">
        <w:rPr>
          <w:rFonts w:ascii="Times New Roman" w:eastAsia="MS Mincho" w:hAnsi="Times New Roman" w:cs="Times New Roman"/>
          <w:sz w:val="20"/>
          <w:szCs w:val="20"/>
        </w:rPr>
        <w:t>, а также датчики вибрации на центрифугах. Предусматривается алгоритм предупредительных и аварийных уставок.</w:t>
      </w:r>
    </w:p>
    <w:p w14:paraId="6AAF7886" w14:textId="77777777" w:rsidR="00157F23" w:rsidRPr="00157F23" w:rsidRDefault="00157F23" w:rsidP="00157F23">
      <w:pPr>
        <w:spacing w:after="0" w:line="240" w:lineRule="auto"/>
        <w:jc w:val="both"/>
        <w:rPr>
          <w:rFonts w:ascii="Times New Roman" w:eastAsia="MS Mincho" w:hAnsi="Times New Roman" w:cs="Times New Roman"/>
          <w:sz w:val="20"/>
          <w:szCs w:val="20"/>
        </w:rPr>
      </w:pPr>
      <w:r w:rsidRPr="00157F23">
        <w:rPr>
          <w:rFonts w:ascii="Times New Roman" w:eastAsia="MS Mincho" w:hAnsi="Times New Roman" w:cs="Times New Roman"/>
          <w:sz w:val="20"/>
          <w:szCs w:val="20"/>
        </w:rPr>
        <w:t xml:space="preserve">Система аварийной остановки </w:t>
      </w:r>
      <w:r w:rsidRPr="00157F23">
        <w:rPr>
          <w:rFonts w:ascii="Times New Roman" w:eastAsia="MS Mincho" w:hAnsi="Times New Roman" w:cs="Times New Roman"/>
          <w:sz w:val="20"/>
          <w:szCs w:val="20"/>
          <w:lang w:val="en-US"/>
        </w:rPr>
        <w:t>ESD</w:t>
      </w:r>
      <w:r w:rsidRPr="00157F23">
        <w:rPr>
          <w:rFonts w:ascii="Times New Roman" w:eastAsia="MS Mincho" w:hAnsi="Times New Roman" w:cs="Times New Roman"/>
          <w:sz w:val="20"/>
          <w:szCs w:val="20"/>
        </w:rPr>
        <w:t xml:space="preserve"> должна обеспечивать последовательную безопасную остановку насосов и центрифуг, блокировку подачи сырья и подачу сигналов оператору. Для тенгизского нефтешлама отдельно учитывается газовый контроль </w:t>
      </w:r>
      <w:r w:rsidRPr="00157F23">
        <w:rPr>
          <w:rFonts w:ascii="Times New Roman" w:eastAsia="MS Mincho" w:hAnsi="Times New Roman" w:cs="Times New Roman"/>
          <w:sz w:val="20"/>
          <w:szCs w:val="20"/>
          <w:lang w:val="en-US"/>
        </w:rPr>
        <w:t>H</w:t>
      </w:r>
      <w:r w:rsidRPr="00157F23">
        <w:rPr>
          <w:rFonts w:ascii="Times New Roman" w:eastAsia="MS Mincho" w:hAnsi="Times New Roman" w:cs="Times New Roman"/>
          <w:sz w:val="20"/>
          <w:szCs w:val="20"/>
        </w:rPr>
        <w:t>₂</w:t>
      </w:r>
      <w:r w:rsidRPr="00157F23">
        <w:rPr>
          <w:rFonts w:ascii="Times New Roman" w:eastAsia="MS Mincho" w:hAnsi="Times New Roman" w:cs="Times New Roman"/>
          <w:sz w:val="20"/>
          <w:szCs w:val="20"/>
          <w:lang w:val="en-US"/>
        </w:rPr>
        <w:t>S</w:t>
      </w:r>
      <w:r w:rsidRPr="00157F23">
        <w:rPr>
          <w:rFonts w:ascii="Times New Roman" w:eastAsia="MS Mincho" w:hAnsi="Times New Roman" w:cs="Times New Roman"/>
          <w:sz w:val="20"/>
          <w:szCs w:val="20"/>
        </w:rPr>
        <w:t xml:space="preserve"> и </w:t>
      </w:r>
      <w:r w:rsidRPr="00157F23">
        <w:rPr>
          <w:rFonts w:ascii="Times New Roman" w:eastAsia="MS Mincho" w:hAnsi="Times New Roman" w:cs="Times New Roman"/>
          <w:sz w:val="20"/>
          <w:szCs w:val="20"/>
          <w:lang w:val="en-US"/>
        </w:rPr>
        <w:t>LEL</w:t>
      </w:r>
      <w:r w:rsidRPr="00157F23">
        <w:rPr>
          <w:rFonts w:ascii="Times New Roman" w:eastAsia="MS Mincho" w:hAnsi="Times New Roman" w:cs="Times New Roman"/>
          <w:sz w:val="20"/>
          <w:szCs w:val="20"/>
        </w:rPr>
        <w:t>.</w:t>
      </w:r>
    </w:p>
    <w:p w14:paraId="68AF8C70" w14:textId="77777777" w:rsidR="00157F23" w:rsidRPr="00157F23" w:rsidRDefault="00157F23" w:rsidP="00157F23">
      <w:pPr>
        <w:adjustRightInd w:val="0"/>
        <w:spacing w:after="0" w:line="240" w:lineRule="auto"/>
        <w:ind w:firstLine="709"/>
        <w:jc w:val="both"/>
        <w:rPr>
          <w:rFonts w:ascii="Times New Roman" w:eastAsia="Calibri" w:hAnsi="Times New Roman" w:cs="Times New Roman"/>
          <w:b/>
          <w:i/>
          <w:sz w:val="20"/>
          <w:szCs w:val="20"/>
        </w:rPr>
      </w:pPr>
      <w:r w:rsidRPr="00157F23">
        <w:rPr>
          <w:rFonts w:ascii="Times New Roman" w:eastAsia="Calibri" w:hAnsi="Times New Roman" w:cs="Times New Roman"/>
          <w:b/>
          <w:i/>
          <w:sz w:val="20"/>
          <w:szCs w:val="20"/>
        </w:rPr>
        <w:t>Примерная площадь земельного участка, необходимого для осуществления намечаемой деятельности</w:t>
      </w:r>
    </w:p>
    <w:p w14:paraId="31AB83C6"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Специальное разрешение на занятие земель специального назначения без </w:t>
      </w:r>
      <w:proofErr w:type="spellStart"/>
      <w:r w:rsidRPr="00157F23">
        <w:rPr>
          <w:rFonts w:ascii="Times New Roman" w:eastAsia="Calibri" w:hAnsi="Times New Roman" w:cs="Times New Roman"/>
          <w:sz w:val="20"/>
          <w:szCs w:val="20"/>
        </w:rPr>
        <w:t>установелния</w:t>
      </w:r>
      <w:proofErr w:type="spellEnd"/>
      <w:r w:rsidRPr="00157F23">
        <w:rPr>
          <w:rFonts w:ascii="Times New Roman" w:eastAsia="Calibri" w:hAnsi="Times New Roman" w:cs="Times New Roman"/>
          <w:sz w:val="20"/>
          <w:szCs w:val="20"/>
        </w:rPr>
        <w:t xml:space="preserve"> границ по местности от 06.01.2026 года.</w:t>
      </w:r>
    </w:p>
    <w:p w14:paraId="1BEB09AA" w14:textId="77777777" w:rsidR="00157F23" w:rsidRPr="00157F23" w:rsidRDefault="00157F23" w:rsidP="00157F23">
      <w:pPr>
        <w:adjustRightInd w:val="0"/>
        <w:spacing w:after="0" w:line="240" w:lineRule="auto"/>
        <w:ind w:firstLine="567"/>
        <w:jc w:val="both"/>
        <w:rPr>
          <w:rFonts w:ascii="Times New Roman" w:eastAsia="Calibri" w:hAnsi="Times New Roman" w:cs="Times New Roman"/>
          <w:b/>
          <w:i/>
          <w:sz w:val="20"/>
          <w:szCs w:val="20"/>
        </w:rPr>
      </w:pPr>
      <w:r w:rsidRPr="00157F23">
        <w:rPr>
          <w:rFonts w:ascii="Times New Roman" w:eastAsia="Calibri" w:hAnsi="Times New Roman" w:cs="Times New Roman"/>
          <w:b/>
          <w:i/>
          <w:sz w:val="20"/>
          <w:szCs w:val="20"/>
        </w:rPr>
        <w:t>Краткое описание возможных рациональных вариантов осуществления намечаемой деятельности и обоснование выбранного варианта</w:t>
      </w:r>
    </w:p>
    <w:p w14:paraId="22DE8438"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Учитывая геолого-литологическое строение района и непосредственно участка работ, альтернатив по переносу и выбору участков не имеются. </w:t>
      </w:r>
    </w:p>
    <w:p w14:paraId="4D831A6E" w14:textId="77777777" w:rsidR="00157F23" w:rsidRPr="00157F23" w:rsidRDefault="00157F23" w:rsidP="00157F23">
      <w:pPr>
        <w:adjustRightInd w:val="0"/>
        <w:spacing w:after="0" w:line="240" w:lineRule="auto"/>
        <w:ind w:firstLine="567"/>
        <w:jc w:val="both"/>
        <w:rPr>
          <w:rFonts w:ascii="Times New Roman" w:eastAsia="Calibri" w:hAnsi="Times New Roman" w:cs="Times New Roman"/>
          <w:b/>
          <w:i/>
          <w:sz w:val="20"/>
          <w:szCs w:val="20"/>
        </w:rPr>
      </w:pPr>
      <w:r w:rsidRPr="00157F23">
        <w:rPr>
          <w:rFonts w:ascii="Times New Roman" w:eastAsia="Calibri" w:hAnsi="Times New Roman" w:cs="Times New Roman"/>
          <w:b/>
          <w:i/>
          <w:sz w:val="20"/>
          <w:szCs w:val="20"/>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3999CFBE"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Жизнь и (или) здоровье людей, условия их проживания и деятельности.</w:t>
      </w:r>
    </w:p>
    <w:p w14:paraId="5CC3876F"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По результатам расчетов выбросов загрязняющих веществ и их рассеивания в приземном слое атмосферы, превышений ПДК на границе жилой зоны нет.</w:t>
      </w:r>
    </w:p>
    <w:p w14:paraId="542F9E3E"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При проведении данных работ будут соблюдаться правила </w:t>
      </w:r>
      <w:proofErr w:type="spellStart"/>
      <w:proofErr w:type="gramStart"/>
      <w:r w:rsidRPr="00157F23">
        <w:rPr>
          <w:rFonts w:ascii="Times New Roman" w:eastAsia="Calibri" w:hAnsi="Times New Roman" w:cs="Times New Roman"/>
          <w:sz w:val="20"/>
          <w:szCs w:val="20"/>
        </w:rPr>
        <w:t>пром.санитарии</w:t>
      </w:r>
      <w:proofErr w:type="spellEnd"/>
      <w:proofErr w:type="gramEnd"/>
      <w:r w:rsidRPr="00157F23">
        <w:rPr>
          <w:rFonts w:ascii="Times New Roman" w:eastAsia="Calibri" w:hAnsi="Times New Roman" w:cs="Times New Roman"/>
          <w:sz w:val="20"/>
          <w:szCs w:val="20"/>
        </w:rPr>
        <w:t xml:space="preserve"> и технологии производства с целью обеспечения безопасности для здоровья трудящихся.</w:t>
      </w:r>
    </w:p>
    <w:p w14:paraId="41D68019"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Исходя из выше сказанного, воздействие на жизнь и здоровье людей, а также условия их проживания и деятельности оценивается как незначительное.</w:t>
      </w:r>
    </w:p>
    <w:p w14:paraId="5CFD152C"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74222DDF"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Изменения видового состава растительности, ее состояния, продуктивности сообществ в районе намечаемой деятельности исключается. </w:t>
      </w:r>
    </w:p>
    <w:p w14:paraId="5E46ABA3"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 xml:space="preserve">Для исключения физического уничтожения растительности </w:t>
      </w:r>
    </w:p>
    <w:p w14:paraId="58336E25"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С учетом природоохранных мероприятий проведение работ не повлечет за собой изменение видового состава и численности животного мира.</w:t>
      </w:r>
    </w:p>
    <w:p w14:paraId="48156ACA"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lastRenderedPageBreak/>
        <w:t>Следовательно, при проведении работ, существенного негативного влияния на растительный и животный мир не произойдет, воздействие допустимое.</w:t>
      </w:r>
    </w:p>
    <w:p w14:paraId="78AEB00E"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Генетические ресурсы</w:t>
      </w:r>
    </w:p>
    <w:p w14:paraId="60A4FFC5"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В технологическом процессе генетические ресурсы не используются.</w:t>
      </w:r>
    </w:p>
    <w:p w14:paraId="34F51DFB"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Природные ареалы растений и диких животных, пути миграции диких животных, экосистемы</w:t>
      </w:r>
    </w:p>
    <w:p w14:paraId="3A8BF1DD"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При проведении работ строго будут соблюдаться охранные мероприятия по сохранению растительности и животного мира, улучшению состояния встречающихся растительных и животных сообществ и их воспроизводству.</w:t>
      </w:r>
    </w:p>
    <w:p w14:paraId="25CA704C"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Немаловажное значение для животных, обитающих в районе месторождения, будут иметь находящиеся на месторождении трудящиеся. Поэтому наряду с усилением охраны растительного и животного мира необходимо проводить экологическое воспитание рабочих и служащих.</w:t>
      </w:r>
    </w:p>
    <w:p w14:paraId="6242D23F"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Для снижения воздействия на растительный и животный мир после прекращения работ, предусматривается рекультивация нарушенных земель. В связи с этим, воздействие намечаемой деятельности на растительный и животный мир оценивается как допустимое.</w:t>
      </w:r>
    </w:p>
    <w:p w14:paraId="3888B565"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Земли (в том числе изъятие земель), почвы (в том числе включая органический состав, эрозию, уплотнение, иные формы деградации).</w:t>
      </w:r>
    </w:p>
    <w:p w14:paraId="6FA3BCDA"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На территории отсутствуют земли оздоровительного, рекреационного и историко-культурного назначения.</w:t>
      </w:r>
    </w:p>
    <w:p w14:paraId="7790FD3D"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Проектируемые работы будут проводиться в границах земельного отвода.</w:t>
      </w:r>
    </w:p>
    <w:p w14:paraId="10500BB8"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Дополнительного изъятия земель проектом не предусмотрено.</w:t>
      </w:r>
    </w:p>
    <w:p w14:paraId="69DE3D60"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Почвы (в том числе органический состав, эрозию, уплотнение, иные формы деградации)</w:t>
      </w:r>
    </w:p>
    <w:p w14:paraId="0DE57A2C"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Прямое воздействие на почвы района расположения проектируемого объекта производится при проектируемых работах. Косвенное воздействие производится в результате выбросов загрязняющих веществ.</w:t>
      </w:r>
    </w:p>
    <w:p w14:paraId="378CABD9"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Для предотвращения ветровой эрозии предусмотрено орошение водой рабочих мест ведения работ, технологических дорог и отвала ПРС поливочной машиной. Производится посев трав после завершения формирования отвалов ПРС. После окончания работ будет предусмотрена рекультивация нарушаемых земель. Воздействие допустимое.</w:t>
      </w:r>
    </w:p>
    <w:p w14:paraId="2AA970B6"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 xml:space="preserve">Воды (в том числе </w:t>
      </w:r>
      <w:proofErr w:type="spellStart"/>
      <w:r w:rsidRPr="00157F23">
        <w:rPr>
          <w:rFonts w:ascii="Times New Roman" w:eastAsia="Calibri" w:hAnsi="Times New Roman" w:cs="Times New Roman"/>
          <w:i/>
          <w:sz w:val="20"/>
          <w:szCs w:val="20"/>
        </w:rPr>
        <w:t>гидроморфологические</w:t>
      </w:r>
      <w:proofErr w:type="spellEnd"/>
      <w:r w:rsidRPr="00157F23">
        <w:rPr>
          <w:rFonts w:ascii="Times New Roman" w:eastAsia="Calibri" w:hAnsi="Times New Roman" w:cs="Times New Roman"/>
          <w:i/>
          <w:sz w:val="20"/>
          <w:szCs w:val="20"/>
        </w:rPr>
        <w:t xml:space="preserve"> изменения, количество и качество вод)</w:t>
      </w:r>
    </w:p>
    <w:p w14:paraId="4155B788"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Проведение </w:t>
      </w:r>
      <w:proofErr w:type="spellStart"/>
      <w:r w:rsidRPr="00157F23">
        <w:rPr>
          <w:rFonts w:ascii="Times New Roman" w:eastAsia="Calibri" w:hAnsi="Times New Roman" w:cs="Times New Roman"/>
          <w:sz w:val="20"/>
          <w:szCs w:val="20"/>
        </w:rPr>
        <w:t>проектиремых</w:t>
      </w:r>
      <w:proofErr w:type="spellEnd"/>
      <w:r w:rsidRPr="00157F23">
        <w:rPr>
          <w:rFonts w:ascii="Times New Roman" w:eastAsia="Calibri" w:hAnsi="Times New Roman" w:cs="Times New Roman"/>
          <w:sz w:val="20"/>
          <w:szCs w:val="20"/>
        </w:rPr>
        <w:t xml:space="preserve"> работ будет осуществляться с соблюдением мероприятий по охране подземных и поверхностных вод от загрязнения.</w:t>
      </w:r>
    </w:p>
    <w:p w14:paraId="106EA5D7"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Осуществление экологического контроля за производственной деятельностью предприятия позволит своевременно определить возможные превышения целевых показателей качества поверхностных и подземных вод с целью недопущения их загрязнения и сохранения экологического равновесия окружающей природной среды данного района.</w:t>
      </w:r>
    </w:p>
    <w:p w14:paraId="7FDCDCE1"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Атмосферный воздух</w:t>
      </w:r>
    </w:p>
    <w:p w14:paraId="57129148"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При разработке месторождений внедрены следующие мероприятия по охране атмосферного воздуха </w:t>
      </w:r>
      <w:proofErr w:type="gramStart"/>
      <w:r w:rsidRPr="00157F23">
        <w:rPr>
          <w:rFonts w:ascii="Times New Roman" w:eastAsia="Calibri" w:hAnsi="Times New Roman" w:cs="Times New Roman"/>
          <w:sz w:val="20"/>
          <w:szCs w:val="20"/>
        </w:rPr>
        <w:t>согласно приложения</w:t>
      </w:r>
      <w:proofErr w:type="gramEnd"/>
      <w:r w:rsidRPr="00157F23">
        <w:rPr>
          <w:rFonts w:ascii="Times New Roman" w:eastAsia="Calibri" w:hAnsi="Times New Roman" w:cs="Times New Roman"/>
          <w:sz w:val="20"/>
          <w:szCs w:val="20"/>
        </w:rPr>
        <w:t xml:space="preserve"> 4 Экологического кодекса Республики Казахстан:</w:t>
      </w:r>
    </w:p>
    <w:p w14:paraId="7E5C6692"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п.1, п.п.3 - выполнение мероприятий по предотвращению и снижению выбросов загрязняющих веществ от стационарных источников.</w:t>
      </w:r>
    </w:p>
    <w:p w14:paraId="39D7F310"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п.1, п.п.9 - проведение работ по пылеподавлению на технологических дорогах.</w:t>
      </w:r>
    </w:p>
    <w:p w14:paraId="2C9488C0"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В сухое летнее время с целью снижения запыленности воздушной среды будет организовано пылеподавление на технологических дорогах и рабочих площадках.</w:t>
      </w:r>
    </w:p>
    <w:p w14:paraId="594F02B8"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Воздействие намечаемой деятельности на атмосферный воздух оценивается как незначительное.</w:t>
      </w:r>
    </w:p>
    <w:p w14:paraId="472825EF"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Сопротивляемость к изменению климата экологических и социально-экономических систем</w:t>
      </w:r>
    </w:p>
    <w:p w14:paraId="6A441A89"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В регионе может незначительно увеличиться первичная и вторичная занятость местного населения, что приведет к увеличению доходов населения и росту благосостояния.</w:t>
      </w:r>
    </w:p>
    <w:p w14:paraId="51BAFC5E"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Экономическая деятельность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w:t>
      </w:r>
    </w:p>
    <w:p w14:paraId="0D7092FE" w14:textId="77777777" w:rsidR="00157F23" w:rsidRPr="00157F23" w:rsidRDefault="00157F23" w:rsidP="00157F23">
      <w:pPr>
        <w:adjustRightInd w:val="0"/>
        <w:spacing w:after="0" w:line="240" w:lineRule="auto"/>
        <w:jc w:val="both"/>
        <w:rPr>
          <w:rFonts w:ascii="Times New Roman" w:eastAsia="Calibri" w:hAnsi="Times New Roman" w:cs="Times New Roman"/>
          <w:i/>
          <w:sz w:val="20"/>
          <w:szCs w:val="20"/>
        </w:rPr>
      </w:pPr>
      <w:r w:rsidRPr="00157F23">
        <w:rPr>
          <w:rFonts w:ascii="Times New Roman" w:eastAsia="Calibri" w:hAnsi="Times New Roman" w:cs="Times New Roman"/>
          <w:i/>
          <w:sz w:val="20"/>
          <w:szCs w:val="20"/>
        </w:rPr>
        <w:t>Материальные активы, объекты историко-культурного наследия (в том числе архитектурные и археологические), ландшафты.</w:t>
      </w:r>
    </w:p>
    <w:p w14:paraId="32C3E2E1"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Финансирование будет осуществляться за счёт собственных и привлеченных финансовых средств. Объекты историко-культурного наследия в районе работ не обнаружено.</w:t>
      </w:r>
    </w:p>
    <w:p w14:paraId="1FE3ABF4" w14:textId="77777777" w:rsidR="00157F23" w:rsidRPr="00157F23" w:rsidRDefault="00157F23" w:rsidP="00157F23">
      <w:pPr>
        <w:adjustRightInd w:val="0"/>
        <w:spacing w:after="0" w:line="240" w:lineRule="auto"/>
        <w:ind w:firstLine="567"/>
        <w:jc w:val="both"/>
        <w:rPr>
          <w:rFonts w:ascii="Times New Roman" w:eastAsia="Calibri" w:hAnsi="Times New Roman" w:cs="Times New Roman"/>
          <w:b/>
          <w:i/>
          <w:sz w:val="20"/>
          <w:szCs w:val="20"/>
        </w:rPr>
      </w:pPr>
      <w:r w:rsidRPr="00157F23">
        <w:rPr>
          <w:rFonts w:ascii="Times New Roman" w:eastAsia="Calibri" w:hAnsi="Times New Roman" w:cs="Times New Roman"/>
          <w:b/>
          <w:i/>
          <w:sz w:val="20"/>
          <w:szCs w:val="20"/>
        </w:rPr>
        <w:t>6) Информация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7C487DCA" w14:textId="77777777" w:rsidR="00157F23" w:rsidRPr="00157F23" w:rsidRDefault="00157F23" w:rsidP="00157F23">
      <w:pPr>
        <w:adjustRightInd w:val="0"/>
        <w:spacing w:after="0" w:line="240" w:lineRule="auto"/>
        <w:jc w:val="both"/>
        <w:rPr>
          <w:rFonts w:ascii="Times New Roman" w:eastAsia="Calibri" w:hAnsi="Times New Roman" w:cs="Times New Roman"/>
          <w:sz w:val="20"/>
          <w:szCs w:val="20"/>
        </w:rPr>
      </w:pPr>
      <w:r w:rsidRPr="00157F23">
        <w:rPr>
          <w:rFonts w:ascii="Times New Roman" w:eastAsia="Times New Roman" w:hAnsi="Times New Roman" w:cs="Times New Roman"/>
          <w:bCs/>
          <w:sz w:val="20"/>
          <w:szCs w:val="20"/>
        </w:rPr>
        <w:t xml:space="preserve">Вероятность возникновения аварийных ситуаций на каждом конкретном объекте зависит от множества факторов, обусловленных горно-геологическими,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 Основными причинами возникновения аварийных ситуаций при разработке проекта на рассматриваемой территории являются: нарушение технологических процессов; технические ошибки операторов и другого персонала, нарушения техники безопасности и </w:t>
      </w:r>
      <w:r w:rsidRPr="00157F23">
        <w:rPr>
          <w:rFonts w:ascii="Times New Roman" w:eastAsia="Times New Roman" w:hAnsi="Times New Roman" w:cs="Times New Roman"/>
          <w:bCs/>
          <w:sz w:val="20"/>
          <w:szCs w:val="20"/>
        </w:rPr>
        <w:lastRenderedPageBreak/>
        <w:t xml:space="preserve">противопожарной безопасности; нарушением технологии эксплуатации и обслуживания оборудования, отказом работы оборудования, человеческим фактором; отравление выхлопными газами двигателей внутреннего сгорания спецтехники и автотранспорта, работающих на нефтепромысле; несоблюдение требований противопожарной защиты при использовании ГСМ и т.д. </w:t>
      </w:r>
      <w:r w:rsidRPr="00157F23">
        <w:rPr>
          <w:rFonts w:ascii="Times New Roman" w:eastAsia="Calibri" w:hAnsi="Times New Roman" w:cs="Times New Roman"/>
          <w:sz w:val="20"/>
          <w:szCs w:val="20"/>
        </w:rPr>
        <w:t xml:space="preserve"> </w:t>
      </w:r>
    </w:p>
    <w:p w14:paraId="040E9989" w14:textId="77777777" w:rsidR="00157F23" w:rsidRPr="00157F23" w:rsidRDefault="00157F23" w:rsidP="00157F23">
      <w:pPr>
        <w:adjustRightInd w:val="0"/>
        <w:spacing w:after="0" w:line="240" w:lineRule="auto"/>
        <w:jc w:val="both"/>
        <w:rPr>
          <w:rFonts w:ascii="Times New Roman" w:eastAsia="Calibri" w:hAnsi="Times New Roman" w:cs="Times New Roman"/>
          <w:b/>
          <w:i/>
          <w:sz w:val="20"/>
          <w:szCs w:val="20"/>
        </w:rPr>
      </w:pPr>
      <w:r w:rsidRPr="00157F23">
        <w:rPr>
          <w:rFonts w:ascii="Times New Roman" w:eastAsia="Times New Roman" w:hAnsi="Times New Roman" w:cs="Times New Roman"/>
          <w:bCs/>
          <w:sz w:val="20"/>
          <w:szCs w:val="20"/>
        </w:rPr>
        <w:t>Предупреждение аварийных и чрезвычайных ситуаций как в части их предотвращения (снижения вероятности возникновения), так и в плане уменьшения потерь и ущерба от них (смягчения последствий) проводится по следующим направлениям:</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Профессиональная подготовка работника:</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w:t>
      </w:r>
      <w:r w:rsidRPr="00157F23">
        <w:rPr>
          <w:rFonts w:ascii="Times New Roman" w:eastAsia="Times New Roman" w:hAnsi="Times New Roman" w:cs="Times New Roman"/>
          <w:bCs/>
          <w:sz w:val="20"/>
          <w:szCs w:val="20"/>
        </w:rPr>
        <w:tab/>
        <w:t>первичный инструктаж по безопасным методам работы для вновь принятого или переведенного из одного цеха в другой работника (проводится мастером или начальником цеха);</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 ежеквартальный инструктаж по безопасным методам работы и содержанию планов ликвидации аварий и эвакуации персонала (проводятся руководителем организации);</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-повышение квалификации рабочих по специальным программам в соответствии с Типовым положением (проводится аттестованными преподавателями). Противоаварийная подготовка персонала предусматривает выполнение следующих мероприятий:</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 разработка планов ликвидации аварий в цехах и на объектах, подконтрольных КЧС МВД РК; а также подготовка планов эвакуации персонала и объектов в случае возникновения аварий;</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w:t>
      </w:r>
      <w:r w:rsidRPr="00157F23">
        <w:rPr>
          <w:rFonts w:ascii="Times New Roman" w:eastAsia="Times New Roman" w:hAnsi="Times New Roman" w:cs="Times New Roman"/>
          <w:bCs/>
          <w:sz w:val="20"/>
          <w:szCs w:val="20"/>
        </w:rPr>
        <w:tab/>
        <w:t>первичный инструктаж по действиям в соответствии с планами ликвидации аварий и эвакуации персонала для вновь принятых или переведенных из цеха в цех рабочих (проводится мастером или начальником цеха);</w:t>
      </w:r>
      <w:r w:rsidRPr="00157F23">
        <w:rPr>
          <w:rFonts w:ascii="Times New Roman" w:eastAsia="Calibri" w:hAnsi="Times New Roman" w:cs="Times New Roman"/>
          <w:sz w:val="20"/>
          <w:szCs w:val="20"/>
        </w:rPr>
        <w:t xml:space="preserve"> </w:t>
      </w:r>
      <w:r w:rsidRPr="00157F23">
        <w:rPr>
          <w:rFonts w:ascii="Times New Roman" w:eastAsia="Times New Roman" w:hAnsi="Times New Roman" w:cs="Times New Roman"/>
          <w:bCs/>
          <w:sz w:val="20"/>
          <w:szCs w:val="20"/>
        </w:rPr>
        <w:t>- ежеквартальный инструктаж по действиям в соответствии с планами ликвидации аварий и эвакуации персонала (проводится руководителем организации).</w:t>
      </w:r>
    </w:p>
    <w:p w14:paraId="3F24C6A8" w14:textId="77777777" w:rsidR="00157F23" w:rsidRPr="00157F23" w:rsidRDefault="00157F23" w:rsidP="00157F23">
      <w:pPr>
        <w:adjustRightInd w:val="0"/>
        <w:spacing w:after="0" w:line="240" w:lineRule="auto"/>
        <w:jc w:val="both"/>
        <w:rPr>
          <w:rFonts w:ascii="Times New Roman" w:eastAsia="Calibri" w:hAnsi="Times New Roman" w:cs="Times New Roman"/>
          <w:b/>
          <w:i/>
          <w:sz w:val="20"/>
          <w:szCs w:val="20"/>
        </w:rPr>
      </w:pPr>
      <w:r w:rsidRPr="00157F23">
        <w:rPr>
          <w:rFonts w:ascii="Times New Roman" w:eastAsia="Times New Roman" w:hAnsi="Times New Roman" w:cs="Times New Roman"/>
          <w:bCs/>
          <w:sz w:val="20"/>
          <w:szCs w:val="20"/>
        </w:rPr>
        <w:t>Предусмотрено обязательное обучение всех работников предприятий, учреждений и организаций правилам поведения, способам защиты и действиям в чрезвычайных ситуациях.</w:t>
      </w:r>
    </w:p>
    <w:p w14:paraId="00E5E31E" w14:textId="77777777" w:rsidR="00157F23" w:rsidRPr="00157F23" w:rsidRDefault="00157F23" w:rsidP="00157F23">
      <w:pPr>
        <w:adjustRightInd w:val="0"/>
        <w:spacing w:after="0" w:line="240" w:lineRule="auto"/>
        <w:jc w:val="both"/>
        <w:rPr>
          <w:rFonts w:ascii="Times New Roman" w:eastAsia="Calibri" w:hAnsi="Times New Roman" w:cs="Times New Roman"/>
          <w:b/>
          <w:i/>
          <w:sz w:val="20"/>
          <w:szCs w:val="20"/>
        </w:rPr>
      </w:pPr>
      <w:r w:rsidRPr="00157F23">
        <w:rPr>
          <w:rFonts w:ascii="Times New Roman" w:eastAsia="Times New Roman" w:hAnsi="Times New Roman" w:cs="Times New Roman"/>
          <w:bCs/>
          <w:sz w:val="20"/>
          <w:szCs w:val="20"/>
        </w:rPr>
        <w:t>Занятия с ними проводятся по месту работы в соответствии с программами, разработанными с учетом особенностей производства. Работники также принимают участие в специальных учениях и тренировках.</w:t>
      </w:r>
    </w:p>
    <w:p w14:paraId="0E469F56" w14:textId="77777777" w:rsidR="00157F23" w:rsidRPr="00157F23" w:rsidRDefault="00157F23" w:rsidP="00157F23">
      <w:pPr>
        <w:adjustRightInd w:val="0"/>
        <w:spacing w:after="0" w:line="240" w:lineRule="auto"/>
        <w:jc w:val="both"/>
        <w:rPr>
          <w:rFonts w:ascii="Times New Roman" w:eastAsia="Calibri" w:hAnsi="Times New Roman" w:cs="Times New Roman"/>
          <w:b/>
          <w:i/>
          <w:sz w:val="20"/>
          <w:szCs w:val="20"/>
        </w:rPr>
      </w:pPr>
      <w:r w:rsidRPr="00157F23">
        <w:rPr>
          <w:rFonts w:ascii="Times New Roman" w:eastAsia="Times New Roman" w:hAnsi="Times New Roman" w:cs="Times New Roman"/>
          <w:bCs/>
          <w:sz w:val="20"/>
          <w:szCs w:val="20"/>
        </w:rPr>
        <w:t>Для руководителей всех уровней, кроме того, предусмотрено обязательное повышение квалификации в области гражданской обороны и защиты от чрезвычайных ситуаций при назначении на должность, а в последующем не реже одного раза в пять лет.</w:t>
      </w:r>
    </w:p>
    <w:p w14:paraId="465B6AE1" w14:textId="77777777" w:rsidR="00157F23" w:rsidRPr="00157F23" w:rsidRDefault="00157F23" w:rsidP="00157F23">
      <w:pPr>
        <w:adjustRightInd w:val="0"/>
        <w:spacing w:after="0" w:line="240" w:lineRule="auto"/>
        <w:jc w:val="both"/>
        <w:rPr>
          <w:rFonts w:ascii="Times New Roman" w:eastAsia="Calibri" w:hAnsi="Times New Roman" w:cs="Times New Roman"/>
          <w:b/>
          <w:i/>
          <w:sz w:val="20"/>
          <w:szCs w:val="20"/>
        </w:rPr>
      </w:pPr>
      <w:r w:rsidRPr="00157F23">
        <w:rPr>
          <w:rFonts w:ascii="Times New Roman" w:eastAsia="Times New Roman" w:hAnsi="Times New Roman" w:cs="Times New Roman"/>
          <w:bCs/>
          <w:sz w:val="20"/>
          <w:szCs w:val="20"/>
        </w:rPr>
        <w:t>В качестве профилактических мер на объектах целесообразно использовать следующее:</w:t>
      </w:r>
    </w:p>
    <w:p w14:paraId="3C200767"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w:t>
      </w:r>
      <w:r w:rsidRPr="00157F23">
        <w:rPr>
          <w:rFonts w:ascii="Times New Roman" w:eastAsia="Times New Roman" w:hAnsi="Times New Roman" w:cs="Times New Roman"/>
          <w:bCs/>
          <w:sz w:val="20"/>
          <w:szCs w:val="20"/>
        </w:rPr>
        <w:tab/>
        <w:t>ужесточение пропускного режима при входе и въезде на территорию;</w:t>
      </w:r>
    </w:p>
    <w:p w14:paraId="33C8CB7E"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w:t>
      </w:r>
      <w:r w:rsidRPr="00157F23">
        <w:rPr>
          <w:rFonts w:ascii="Times New Roman" w:eastAsia="Times New Roman" w:hAnsi="Times New Roman" w:cs="Times New Roman"/>
          <w:bCs/>
          <w:sz w:val="20"/>
          <w:szCs w:val="20"/>
        </w:rPr>
        <w:tab/>
        <w:t>установка систем сигнализации, аудио–и видеозаписи;</w:t>
      </w:r>
    </w:p>
    <w:p w14:paraId="393368C8"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w:t>
      </w:r>
      <w:r w:rsidRPr="00157F23">
        <w:rPr>
          <w:rFonts w:ascii="Times New Roman" w:eastAsia="Times New Roman" w:hAnsi="Times New Roman" w:cs="Times New Roman"/>
          <w:bCs/>
          <w:sz w:val="20"/>
          <w:szCs w:val="20"/>
        </w:rPr>
        <w:tab/>
        <w:t>тщательный подбор и проверка кадров;</w:t>
      </w:r>
    </w:p>
    <w:p w14:paraId="0447897E"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w:t>
      </w:r>
      <w:r w:rsidRPr="00157F23">
        <w:rPr>
          <w:rFonts w:ascii="Times New Roman" w:eastAsia="Times New Roman" w:hAnsi="Times New Roman" w:cs="Times New Roman"/>
          <w:bCs/>
          <w:sz w:val="20"/>
          <w:szCs w:val="20"/>
        </w:rPr>
        <w:tab/>
        <w:t xml:space="preserve">использование специальных средств и приборов обнаружения взрывчатых веществ и т.д. </w:t>
      </w:r>
    </w:p>
    <w:p w14:paraId="4772492A"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Cs/>
          <w:sz w:val="20"/>
          <w:szCs w:val="20"/>
        </w:rPr>
      </w:pPr>
      <w:r w:rsidRPr="00157F23">
        <w:rPr>
          <w:rFonts w:ascii="Times New Roman" w:eastAsia="Times New Roman" w:hAnsi="Times New Roman" w:cs="Times New Roman"/>
          <w:bCs/>
          <w:sz w:val="20"/>
          <w:szCs w:val="20"/>
        </w:rPr>
        <w:t>Каждый рабочий и служащий объекта при чрезвычайной ситуации должен умело воспользоваться имеющимися средствами оповещения и вызвать пожарную команду.</w:t>
      </w:r>
    </w:p>
    <w:p w14:paraId="066DB869" w14:textId="77777777" w:rsidR="00157F23" w:rsidRPr="00157F23" w:rsidRDefault="00157F23" w:rsidP="00157F23">
      <w:pPr>
        <w:widowControl w:val="0"/>
        <w:numPr>
          <w:ilvl w:val="0"/>
          <w:numId w:val="1"/>
        </w:numPr>
        <w:tabs>
          <w:tab w:val="left" w:pos="0"/>
        </w:tabs>
        <w:autoSpaceDE w:val="0"/>
        <w:autoSpaceDN w:val="0"/>
        <w:spacing w:after="200" w:line="276" w:lineRule="auto"/>
        <w:ind w:firstLine="567"/>
        <w:contextualSpacing/>
        <w:jc w:val="both"/>
        <w:outlineLvl w:val="2"/>
        <w:rPr>
          <w:rFonts w:ascii="Times New Roman" w:eastAsia="Times New Roman" w:hAnsi="Times New Roman" w:cs="Times New Roman"/>
          <w:b/>
          <w:bCs/>
          <w:i/>
          <w:sz w:val="20"/>
          <w:szCs w:val="20"/>
          <w:lang w:eastAsia="ru-RU"/>
        </w:rPr>
      </w:pPr>
      <w:r w:rsidRPr="00157F23">
        <w:rPr>
          <w:rFonts w:ascii="Times New Roman" w:eastAsia="Times New Roman" w:hAnsi="Times New Roman" w:cs="Times New Roman"/>
          <w:b/>
          <w:bCs/>
          <w:i/>
          <w:sz w:val="20"/>
          <w:szCs w:val="20"/>
          <w:lang w:eastAsia="ru-RU"/>
        </w:rPr>
        <w:t>Краткое описание мер по предотвращению, сокращению, смягчению выявленных существенных воздействий намечаемой деятельности на окружающую среду</w:t>
      </w:r>
    </w:p>
    <w:p w14:paraId="3A485A0E"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 это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w:t>
      </w:r>
    </w:p>
    <w:p w14:paraId="04B390A0"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По атмосферному воздуху:  проведение технического осмотра и профилактических работ технологического оборудования, механизмов и автотранспорта, соблюдение нормативов допустимых выбросов.</w:t>
      </w:r>
    </w:p>
    <w:p w14:paraId="77BFECD0"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По поверхностным и подземным водам: организация системы сбора и хранения отходов производства; контроль герметичности всех емкостей, во избежание утечек воды.</w:t>
      </w:r>
    </w:p>
    <w:p w14:paraId="18ECEB97"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 xml:space="preserve">По недрам и почвам: должны приниматься меры, исключающие загрязнение плодородного слоя почвы минеральным грунтом, строительным мусором, нефтепродуктами и другими веществами, ухудшающими плодородие </w:t>
      </w:r>
      <w:proofErr w:type="spellStart"/>
      <w:proofErr w:type="gramStart"/>
      <w:r w:rsidRPr="00157F23">
        <w:rPr>
          <w:rFonts w:ascii="Times New Roman" w:eastAsia="Times New Roman" w:hAnsi="Times New Roman" w:cs="Times New Roman"/>
          <w:bCs/>
          <w:sz w:val="20"/>
          <w:szCs w:val="20"/>
        </w:rPr>
        <w:t>почв;По</w:t>
      </w:r>
      <w:proofErr w:type="spellEnd"/>
      <w:proofErr w:type="gramEnd"/>
      <w:r w:rsidRPr="00157F23">
        <w:rPr>
          <w:rFonts w:ascii="Times New Roman" w:eastAsia="Times New Roman" w:hAnsi="Times New Roman" w:cs="Times New Roman"/>
          <w:bCs/>
          <w:sz w:val="20"/>
          <w:szCs w:val="20"/>
        </w:rPr>
        <w:t xml:space="preserve"> отходам производства: своевременная организация системы сбора, транспортировки и утилизации отходов.</w:t>
      </w:r>
    </w:p>
    <w:p w14:paraId="5416B56E"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По физическим воздействиям: 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 строгое выполнение персоналом существующих на предприятии инструкций; обязательное соблюдение правил техники безопасности. По растительному миру: перемещение спецтехники и транспорта ограничить специально отведенными дорогами; установка информационных табличек в местах произрастания редких и исчезающих растений на территории объекта, производить информационную кампанию для персонала объекта и населения с целью сохранения редких и исчезающих видов растений.</w:t>
      </w:r>
    </w:p>
    <w:p w14:paraId="063B11EF"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 xml:space="preserve">По животному миру: контроль за недопущением разрушения и повреждения гнезд, сбор яиц без разрешения уполномоченного органа; установка информационных табличек в местах гнездования птиц; воспитание (информационная кампания) для персонала и населения в духе гуманного и бережного отношения к животным; установка вторичных глушителей выхлопа на спецтехнику и авто транспорт; регулярное </w:t>
      </w:r>
      <w:r w:rsidRPr="00157F23">
        <w:rPr>
          <w:rFonts w:ascii="Times New Roman" w:eastAsia="Times New Roman" w:hAnsi="Times New Roman" w:cs="Times New Roman"/>
          <w:bCs/>
          <w:sz w:val="20"/>
          <w:szCs w:val="20"/>
        </w:rPr>
        <w:lastRenderedPageBreak/>
        <w:t>техническое обслуживание производственного оборудования и его эксплуатация в соответствии со стандартами изготовителей; ограничение перемещения техники специально отведенными дорогами.</w:t>
      </w:r>
    </w:p>
    <w:p w14:paraId="232BB08E"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При соблюдении этих мероприятий, потери и компенсации биоразнообразия не предусматривается. Возможных необратимых воздействий на окружающую среду решения рабочего проекта не предусматривают.</w:t>
      </w:r>
    </w:p>
    <w:p w14:paraId="5E20E9F0"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Обоснование необходимости выполнения операций, влекущих такие воздействия не требуется.</w:t>
      </w:r>
    </w:p>
    <w:p w14:paraId="2FBB786D" w14:textId="77777777" w:rsidR="00157F23" w:rsidRPr="00157F23" w:rsidRDefault="00157F23" w:rsidP="00157F23">
      <w:pPr>
        <w:widowControl w:val="0"/>
        <w:tabs>
          <w:tab w:val="left" w:pos="0"/>
        </w:tabs>
        <w:autoSpaceDE w:val="0"/>
        <w:autoSpaceDN w:val="0"/>
        <w:spacing w:after="0" w:line="240" w:lineRule="auto"/>
        <w:jc w:val="both"/>
        <w:outlineLvl w:val="2"/>
        <w:rPr>
          <w:rFonts w:ascii="Times New Roman" w:eastAsia="Times New Roman" w:hAnsi="Times New Roman" w:cs="Times New Roman"/>
          <w:b/>
          <w:bCs/>
          <w:i/>
          <w:sz w:val="20"/>
          <w:szCs w:val="20"/>
        </w:rPr>
      </w:pPr>
      <w:r w:rsidRPr="00157F23">
        <w:rPr>
          <w:rFonts w:ascii="Times New Roman" w:eastAsia="Times New Roman" w:hAnsi="Times New Roman" w:cs="Times New Roman"/>
          <w:bCs/>
          <w:sz w:val="20"/>
          <w:szCs w:val="20"/>
        </w:rPr>
        <w:t>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 не приводится.</w:t>
      </w:r>
    </w:p>
    <w:p w14:paraId="4607B814" w14:textId="77777777" w:rsidR="00157F23" w:rsidRPr="00157F23" w:rsidRDefault="00157F23" w:rsidP="00157F23">
      <w:pPr>
        <w:widowControl w:val="0"/>
        <w:numPr>
          <w:ilvl w:val="0"/>
          <w:numId w:val="1"/>
        </w:numPr>
        <w:tabs>
          <w:tab w:val="left" w:pos="0"/>
        </w:tabs>
        <w:autoSpaceDE w:val="0"/>
        <w:autoSpaceDN w:val="0"/>
        <w:spacing w:after="200" w:line="276" w:lineRule="auto"/>
        <w:ind w:firstLine="567"/>
        <w:contextualSpacing/>
        <w:jc w:val="both"/>
        <w:rPr>
          <w:rFonts w:ascii="Times New Roman" w:eastAsia="Times New Roman" w:hAnsi="Times New Roman" w:cs="Times New Roman"/>
          <w:b/>
          <w:bCs/>
          <w:i/>
          <w:sz w:val="20"/>
          <w:szCs w:val="20"/>
          <w:lang w:eastAsia="ru-RU"/>
        </w:rPr>
      </w:pPr>
      <w:r w:rsidRPr="00157F23">
        <w:rPr>
          <w:rFonts w:ascii="Times New Roman" w:eastAsia="Times New Roman" w:hAnsi="Times New Roman" w:cs="Times New Roman"/>
          <w:b/>
          <w:bCs/>
          <w:i/>
          <w:sz w:val="20"/>
          <w:szCs w:val="20"/>
          <w:lang w:eastAsia="ru-RU"/>
        </w:rPr>
        <w:t>Список источников информации, полученной в ходе выполнения оценки воздействия на окружающую среду:</w:t>
      </w:r>
    </w:p>
    <w:p w14:paraId="312D9FDF"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w:t>
      </w:r>
      <w:r w:rsidRPr="00157F23">
        <w:rPr>
          <w:rFonts w:ascii="Times New Roman" w:eastAsia="Calibri" w:hAnsi="Times New Roman" w:cs="Times New Roman"/>
          <w:sz w:val="20"/>
          <w:szCs w:val="20"/>
        </w:rPr>
        <w:tab/>
        <w:t>Экологический Кодекс Республики Казахстан</w:t>
      </w:r>
    </w:p>
    <w:p w14:paraId="3E5B083A"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2.</w:t>
      </w:r>
      <w:r w:rsidRPr="00157F23">
        <w:rPr>
          <w:rFonts w:ascii="Times New Roman" w:eastAsia="Calibri" w:hAnsi="Times New Roman" w:cs="Times New Roman"/>
          <w:sz w:val="20"/>
          <w:szCs w:val="20"/>
        </w:rPr>
        <w:tab/>
        <w:t>Об утверждении Инструкции по организации и проведению экологической оценки Приказ Министра экологии. геологии и природных ресурсов Республики Казахстан от 30 июля 2021 года № 280</w:t>
      </w:r>
    </w:p>
    <w:p w14:paraId="45576738"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3.</w:t>
      </w:r>
      <w:r w:rsidRPr="00157F23">
        <w:rPr>
          <w:rFonts w:ascii="Times New Roman" w:eastAsia="Calibri" w:hAnsi="Times New Roman" w:cs="Times New Roman"/>
          <w:sz w:val="20"/>
          <w:szCs w:val="20"/>
        </w:rPr>
        <w:tab/>
        <w:t>Приказ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w:t>
      </w:r>
      <w:proofErr w:type="gramStart"/>
      <w:r w:rsidRPr="00157F23">
        <w:rPr>
          <w:rFonts w:ascii="Times New Roman" w:eastAsia="Calibri" w:hAnsi="Times New Roman" w:cs="Times New Roman"/>
          <w:sz w:val="20"/>
          <w:szCs w:val="20"/>
        </w:rPr>
        <w:t>.</w:t>
      </w:r>
      <w:proofErr w:type="gramEnd"/>
      <w:r w:rsidRPr="00157F23">
        <w:rPr>
          <w:rFonts w:ascii="Times New Roman" w:eastAsia="Calibri" w:hAnsi="Times New Roman" w:cs="Times New Roman"/>
          <w:sz w:val="20"/>
          <w:szCs w:val="20"/>
        </w:rPr>
        <w:t xml:space="preserve"> являющихся объектами воздействия на среду обитания и здоровье человека".</w:t>
      </w:r>
    </w:p>
    <w:p w14:paraId="451FBA7E"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4.</w:t>
      </w:r>
      <w:r w:rsidRPr="00157F23">
        <w:rPr>
          <w:rFonts w:ascii="Times New Roman" w:eastAsia="Calibri" w:hAnsi="Times New Roman" w:cs="Times New Roman"/>
          <w:sz w:val="20"/>
          <w:szCs w:val="20"/>
        </w:rPr>
        <w:tab/>
      </w:r>
      <w:proofErr w:type="gramStart"/>
      <w:r w:rsidRPr="00157F23">
        <w:rPr>
          <w:rFonts w:ascii="Times New Roman" w:eastAsia="Calibri" w:hAnsi="Times New Roman" w:cs="Times New Roman"/>
          <w:sz w:val="20"/>
          <w:szCs w:val="20"/>
        </w:rPr>
        <w:t>Методика  расчета</w:t>
      </w:r>
      <w:proofErr w:type="gramEnd"/>
      <w:r w:rsidRPr="00157F23">
        <w:rPr>
          <w:rFonts w:ascii="Times New Roman" w:eastAsia="Calibri" w:hAnsi="Times New Roman" w:cs="Times New Roman"/>
          <w:sz w:val="20"/>
          <w:szCs w:val="20"/>
        </w:rPr>
        <w:t xml:space="preserve">  </w:t>
      </w:r>
      <w:proofErr w:type="gramStart"/>
      <w:r w:rsidRPr="00157F23">
        <w:rPr>
          <w:rFonts w:ascii="Times New Roman" w:eastAsia="Calibri" w:hAnsi="Times New Roman" w:cs="Times New Roman"/>
          <w:sz w:val="20"/>
          <w:szCs w:val="20"/>
        </w:rPr>
        <w:t>концентраций  в</w:t>
      </w:r>
      <w:proofErr w:type="gramEnd"/>
      <w:r w:rsidRPr="00157F23">
        <w:rPr>
          <w:rFonts w:ascii="Times New Roman" w:eastAsia="Calibri" w:hAnsi="Times New Roman" w:cs="Times New Roman"/>
          <w:sz w:val="20"/>
          <w:szCs w:val="20"/>
        </w:rPr>
        <w:t xml:space="preserve">  </w:t>
      </w:r>
      <w:proofErr w:type="gramStart"/>
      <w:r w:rsidRPr="00157F23">
        <w:rPr>
          <w:rFonts w:ascii="Times New Roman" w:eastAsia="Calibri" w:hAnsi="Times New Roman" w:cs="Times New Roman"/>
          <w:sz w:val="20"/>
          <w:szCs w:val="20"/>
        </w:rPr>
        <w:t>атмосферном  воздухе</w:t>
      </w:r>
      <w:proofErr w:type="gramEnd"/>
      <w:r w:rsidRPr="00157F23">
        <w:rPr>
          <w:rFonts w:ascii="Times New Roman" w:eastAsia="Calibri" w:hAnsi="Times New Roman" w:cs="Times New Roman"/>
          <w:sz w:val="20"/>
          <w:szCs w:val="20"/>
        </w:rPr>
        <w:t xml:space="preserve">  вредных веществ</w:t>
      </w:r>
      <w:proofErr w:type="gramStart"/>
      <w:r w:rsidRPr="00157F23">
        <w:rPr>
          <w:rFonts w:ascii="Times New Roman" w:eastAsia="Calibri" w:hAnsi="Times New Roman" w:cs="Times New Roman"/>
          <w:sz w:val="20"/>
          <w:szCs w:val="20"/>
        </w:rPr>
        <w:t>.</w:t>
      </w:r>
      <w:proofErr w:type="gramEnd"/>
      <w:r w:rsidRPr="00157F23">
        <w:rPr>
          <w:rFonts w:ascii="Times New Roman" w:eastAsia="Calibri" w:hAnsi="Times New Roman" w:cs="Times New Roman"/>
          <w:sz w:val="20"/>
          <w:szCs w:val="20"/>
        </w:rPr>
        <w:t xml:space="preserve"> содержащихся в выбросах предприятий ОНД-86. </w:t>
      </w:r>
      <w:proofErr w:type="gramStart"/>
      <w:r w:rsidRPr="00157F23">
        <w:rPr>
          <w:rFonts w:ascii="Times New Roman" w:eastAsia="Calibri" w:hAnsi="Times New Roman" w:cs="Times New Roman"/>
          <w:sz w:val="20"/>
          <w:szCs w:val="20"/>
        </w:rPr>
        <w:t>П..</w:t>
      </w:r>
      <w:proofErr w:type="gramEnd"/>
      <w:r w:rsidRPr="00157F23">
        <w:rPr>
          <w:rFonts w:ascii="Times New Roman" w:eastAsia="Calibri" w:hAnsi="Times New Roman" w:cs="Times New Roman"/>
          <w:sz w:val="20"/>
          <w:szCs w:val="20"/>
        </w:rPr>
        <w:t xml:space="preserve"> Гидрометеоиздат. 1986;</w:t>
      </w:r>
    </w:p>
    <w:p w14:paraId="6D4243DF"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5.</w:t>
      </w:r>
      <w:r w:rsidRPr="00157F23">
        <w:rPr>
          <w:rFonts w:ascii="Times New Roman" w:eastAsia="Calibri" w:hAnsi="Times New Roman" w:cs="Times New Roman"/>
          <w:sz w:val="20"/>
          <w:szCs w:val="20"/>
        </w:rPr>
        <w:tab/>
        <w:t>Перечень и коды веществ</w:t>
      </w:r>
      <w:proofErr w:type="gramStart"/>
      <w:r w:rsidRPr="00157F23">
        <w:rPr>
          <w:rFonts w:ascii="Times New Roman" w:eastAsia="Calibri" w:hAnsi="Times New Roman" w:cs="Times New Roman"/>
          <w:sz w:val="20"/>
          <w:szCs w:val="20"/>
        </w:rPr>
        <w:t>.</w:t>
      </w:r>
      <w:proofErr w:type="gramEnd"/>
      <w:r w:rsidRPr="00157F23">
        <w:rPr>
          <w:rFonts w:ascii="Times New Roman" w:eastAsia="Calibri" w:hAnsi="Times New Roman" w:cs="Times New Roman"/>
          <w:sz w:val="20"/>
          <w:szCs w:val="20"/>
        </w:rPr>
        <w:t xml:space="preserve"> загрязняющих атмосферный воздух. С-П..1995</w:t>
      </w:r>
    </w:p>
    <w:p w14:paraId="2232A286"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6.</w:t>
      </w:r>
      <w:r w:rsidRPr="00157F23">
        <w:rPr>
          <w:rFonts w:ascii="Times New Roman" w:eastAsia="Calibri" w:hAnsi="Times New Roman" w:cs="Times New Roman"/>
          <w:sz w:val="20"/>
          <w:szCs w:val="20"/>
        </w:rPr>
        <w:tab/>
        <w:t>Сборник</w:t>
      </w:r>
      <w:r w:rsidRPr="00157F23">
        <w:rPr>
          <w:rFonts w:ascii="Times New Roman" w:eastAsia="Calibri" w:hAnsi="Times New Roman" w:cs="Times New Roman"/>
          <w:sz w:val="20"/>
          <w:szCs w:val="20"/>
        </w:rPr>
        <w:tab/>
        <w:t>методик</w:t>
      </w:r>
      <w:r w:rsidRPr="00157F23">
        <w:rPr>
          <w:rFonts w:ascii="Times New Roman" w:eastAsia="Calibri" w:hAnsi="Times New Roman" w:cs="Times New Roman"/>
          <w:sz w:val="20"/>
          <w:szCs w:val="20"/>
        </w:rPr>
        <w:tab/>
        <w:t>по</w:t>
      </w:r>
      <w:r w:rsidRPr="00157F23">
        <w:rPr>
          <w:rFonts w:ascii="Times New Roman" w:eastAsia="Calibri" w:hAnsi="Times New Roman" w:cs="Times New Roman"/>
          <w:sz w:val="20"/>
          <w:szCs w:val="20"/>
        </w:rPr>
        <w:tab/>
        <w:t>расчету</w:t>
      </w:r>
      <w:r w:rsidRPr="00157F23">
        <w:rPr>
          <w:rFonts w:ascii="Times New Roman" w:eastAsia="Calibri" w:hAnsi="Times New Roman" w:cs="Times New Roman"/>
          <w:sz w:val="20"/>
          <w:szCs w:val="20"/>
        </w:rPr>
        <w:tab/>
        <w:t>выбросов</w:t>
      </w:r>
      <w:r w:rsidRPr="00157F23">
        <w:rPr>
          <w:rFonts w:ascii="Times New Roman" w:eastAsia="Calibri" w:hAnsi="Times New Roman" w:cs="Times New Roman"/>
          <w:sz w:val="20"/>
          <w:szCs w:val="20"/>
        </w:rPr>
        <w:tab/>
        <w:t>вредных</w:t>
      </w:r>
      <w:r w:rsidRPr="00157F23">
        <w:rPr>
          <w:rFonts w:ascii="Times New Roman" w:eastAsia="Calibri" w:hAnsi="Times New Roman" w:cs="Times New Roman"/>
          <w:sz w:val="20"/>
          <w:szCs w:val="20"/>
        </w:rPr>
        <w:tab/>
        <w:t>веществ</w:t>
      </w:r>
      <w:r w:rsidRPr="00157F23">
        <w:rPr>
          <w:rFonts w:ascii="Times New Roman" w:eastAsia="Calibri" w:hAnsi="Times New Roman" w:cs="Times New Roman"/>
          <w:sz w:val="20"/>
          <w:szCs w:val="20"/>
        </w:rPr>
        <w:tab/>
        <w:t>в</w:t>
      </w:r>
      <w:r w:rsidRPr="00157F23">
        <w:rPr>
          <w:rFonts w:ascii="Times New Roman" w:eastAsia="Calibri" w:hAnsi="Times New Roman" w:cs="Times New Roman"/>
          <w:sz w:val="20"/>
          <w:szCs w:val="20"/>
        </w:rPr>
        <w:tab/>
        <w:t>атмосферу различными производствами. Алматы. 1996г.</w:t>
      </w:r>
    </w:p>
    <w:p w14:paraId="0B91A05C"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7.</w:t>
      </w:r>
      <w:r w:rsidRPr="00157F23">
        <w:rPr>
          <w:rFonts w:ascii="Times New Roman" w:eastAsia="Calibri" w:hAnsi="Times New Roman" w:cs="Times New Roman"/>
          <w:sz w:val="20"/>
          <w:szCs w:val="20"/>
        </w:rPr>
        <w:tab/>
        <w:t>Методика расчета выбросов вредных веществ в атмосферу от стационарных дизельных установок. РНД 211.2.02.02-2004. г. Астана</w:t>
      </w:r>
    </w:p>
    <w:p w14:paraId="6CC1AD4E"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8.</w:t>
      </w:r>
      <w:r w:rsidRPr="00157F23">
        <w:rPr>
          <w:rFonts w:ascii="Times New Roman" w:eastAsia="Calibri" w:hAnsi="Times New Roman" w:cs="Times New Roman"/>
          <w:sz w:val="20"/>
          <w:szCs w:val="20"/>
        </w:rPr>
        <w:tab/>
        <w:t>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 » 04 2008г. № 100-п</w:t>
      </w:r>
    </w:p>
    <w:p w14:paraId="5D2278E7"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9.</w:t>
      </w:r>
      <w:r w:rsidRPr="00157F23">
        <w:rPr>
          <w:rFonts w:ascii="Times New Roman" w:eastAsia="Calibri" w:hAnsi="Times New Roman" w:cs="Times New Roman"/>
          <w:sz w:val="20"/>
          <w:szCs w:val="20"/>
        </w:rPr>
        <w:tab/>
        <w:t>Порядок нормирования объемов образования и размещения отходов производства РНД 03.1.0.3.01-96. Алматы 1996</w:t>
      </w:r>
    </w:p>
    <w:p w14:paraId="0E852198"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10.Информационный бюллетеня о состоянии окружающей среды Республики Казахстан</w:t>
      </w:r>
    </w:p>
    <w:p w14:paraId="2466785F"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11.Об утверждении Методики определения нормативов эмиссий в окружающую среду Приказ Министра экологии. геологии и природных ресурсов Республики Казахстан от 10 марта 2021 года № 63.</w:t>
      </w:r>
    </w:p>
    <w:p w14:paraId="0A24982D"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12.Методики расчета выбросов загрязняющих веществ в атмосферу от предприятий по производству строительных материалов" Приложение №11 к Приказу Министра ООС РК от 18.04.2008г. № 100-п</w:t>
      </w:r>
    </w:p>
    <w:p w14:paraId="38EEAAA6"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13.РНД 211.2.02.05-2004 «Методика расчета выбросов загрязняющих веществ в атмосферу при нанесении лакокрасочных материалов (по величинам удельных выбросов). Астана. 2004;</w:t>
      </w:r>
    </w:p>
    <w:p w14:paraId="371573E7"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14.РНД 211.2.02.03-2004 «Методики расчета выбросов загрязняющих веществ в атмосферу при сварочных работах (по величинам удельных выделений). Астана. 2005.</w:t>
      </w:r>
    </w:p>
    <w:p w14:paraId="4D0C3757"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15.Методика расчета выбросов загрязняющих веществ в атмосферу от стационарных дизельных установок. РНД 211.2.02.04-2004". Астана. 2004 г.</w:t>
      </w:r>
    </w:p>
    <w:p w14:paraId="68B3D6F3"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16.</w:t>
      </w:r>
      <w:r w:rsidRPr="00157F23">
        <w:rPr>
          <w:rFonts w:ascii="Times New Roman" w:eastAsia="Calibri" w:hAnsi="Times New Roman" w:cs="Times New Roman"/>
          <w:sz w:val="20"/>
          <w:szCs w:val="20"/>
        </w:rPr>
        <w:tab/>
        <w:t>Методика расчета выбросов загрязняющих веществ в атмосферу при механической обработке металлов (по величинам удельных выбросов) РНД 211.2.02.06-2004</w:t>
      </w:r>
    </w:p>
    <w:p w14:paraId="564A1A04" w14:textId="77777777" w:rsidR="00157F23" w:rsidRPr="00157F23" w:rsidRDefault="00157F23" w:rsidP="00157F23">
      <w:pPr>
        <w:spacing w:after="0" w:line="240" w:lineRule="auto"/>
        <w:ind w:firstLine="567"/>
        <w:jc w:val="both"/>
        <w:rPr>
          <w:rFonts w:ascii="Times New Roman" w:eastAsia="Calibri" w:hAnsi="Times New Roman" w:cs="Times New Roman"/>
          <w:sz w:val="20"/>
          <w:szCs w:val="20"/>
        </w:rPr>
      </w:pPr>
      <w:r w:rsidRPr="00157F23">
        <w:rPr>
          <w:rFonts w:ascii="Times New Roman" w:eastAsia="Calibri" w:hAnsi="Times New Roman" w:cs="Times New Roman"/>
          <w:sz w:val="20"/>
          <w:szCs w:val="20"/>
        </w:rPr>
        <w:t xml:space="preserve">17. Кодекс РК «О недрах и недропользовании» №125-VI от 27.12.2017 г. (с изменениями и дополнениями). </w:t>
      </w:r>
    </w:p>
    <w:p w14:paraId="73D50150" w14:textId="77777777" w:rsidR="00157F23" w:rsidRPr="00157F23" w:rsidRDefault="00157F23" w:rsidP="00157F23">
      <w:pPr>
        <w:spacing w:after="200" w:line="276" w:lineRule="auto"/>
        <w:rPr>
          <w:rFonts w:ascii="Times New Roman" w:eastAsia="Calibri" w:hAnsi="Times New Roman" w:cs="Times New Roman"/>
          <w:sz w:val="20"/>
          <w:szCs w:val="20"/>
        </w:rPr>
      </w:pPr>
    </w:p>
    <w:p w14:paraId="4DA04F8D"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sz w:val="20"/>
          <w:szCs w:val="20"/>
        </w:rPr>
      </w:pPr>
    </w:p>
    <w:p w14:paraId="1A18A6DF"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3EC679E6"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5F3F51EE"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1B370E73"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2A321657"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5E8FC2CC"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4C30F8FB"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0DCC8C1B"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7B278FE4"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37C824DA"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143A7EF6"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23256CF3"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6DD167FD"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158F3A37" w14:textId="77777777" w:rsidR="00157F23" w:rsidRPr="00157F23" w:rsidRDefault="00157F23" w:rsidP="00157F23">
      <w:pPr>
        <w:widowControl w:val="0"/>
        <w:tabs>
          <w:tab w:val="left" w:pos="1210"/>
          <w:tab w:val="left" w:pos="9498"/>
          <w:tab w:val="left" w:pos="9639"/>
        </w:tabs>
        <w:autoSpaceDE w:val="0"/>
        <w:autoSpaceDN w:val="0"/>
        <w:spacing w:after="0" w:line="240" w:lineRule="auto"/>
        <w:ind w:right="142"/>
        <w:jc w:val="both"/>
        <w:outlineLvl w:val="2"/>
        <w:rPr>
          <w:rFonts w:ascii="Times New Roman" w:eastAsia="Times New Roman" w:hAnsi="Times New Roman" w:cs="Times New Roman"/>
          <w:bCs/>
        </w:rPr>
      </w:pPr>
    </w:p>
    <w:p w14:paraId="77A43AE7" w14:textId="77777777" w:rsidR="00627D3A" w:rsidRDefault="00627D3A"/>
    <w:sectPr w:rsidR="00627D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265E0"/>
    <w:multiLevelType w:val="hybridMultilevel"/>
    <w:tmpl w:val="7D9672D0"/>
    <w:lvl w:ilvl="0" w:tplc="04190011">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377194224">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295"/>
    <w:rsid w:val="00157F23"/>
    <w:rsid w:val="002C0D0B"/>
    <w:rsid w:val="00627D3A"/>
    <w:rsid w:val="00730295"/>
    <w:rsid w:val="00AB5B81"/>
    <w:rsid w:val="00CB7C9C"/>
    <w:rsid w:val="00CE4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49F7C"/>
  <w15:docId w15:val="{BA9BCE2F-9939-4857-AD02-CAB040FC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D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entrefuges@gmail.com"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4655</Words>
  <Characters>26534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Gaziza</dc:creator>
  <cp:lastModifiedBy>Молдир Тлеугожина</cp:lastModifiedBy>
  <cp:revision>3</cp:revision>
  <dcterms:created xsi:type="dcterms:W3CDTF">2026-05-22T07:40:00Z</dcterms:created>
  <dcterms:modified xsi:type="dcterms:W3CDTF">2026-05-22T09:02:00Z</dcterms:modified>
</cp:coreProperties>
</file>