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C76C80">
      <w:pPr>
        <w:pStyle w:val="5"/>
        <w:keepNext w:val="0"/>
        <w:keepLines w:val="0"/>
        <w:widowControl/>
        <w:suppressLineNumbers w:val="0"/>
        <w:spacing w:before="0" w:beforeAutospacing="0" w:line="15" w:lineRule="atLeast"/>
        <w:jc w:val="center"/>
        <w:rPr>
          <w:rFonts w:hint="default" w:ascii="Times New Roman" w:hAnsi="Times New Roman" w:eastAsia="sans-serif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sans-serif" w:cs="Times New Roman"/>
          <w:b/>
          <w:bCs/>
          <w:sz w:val="24"/>
          <w:szCs w:val="24"/>
          <w:lang w:val="ru-RU"/>
        </w:rPr>
        <w:t>К</w:t>
      </w:r>
      <w:r>
        <w:rPr>
          <w:rFonts w:hint="default" w:ascii="Times New Roman" w:hAnsi="Times New Roman" w:eastAsia="sans-serif" w:cs="Times New Roman"/>
          <w:b/>
          <w:bCs/>
          <w:sz w:val="24"/>
          <w:szCs w:val="24"/>
        </w:rPr>
        <w:t>раткое нетехническое резюме проекта нормативов допустимых выбросов (НДВ) для контрактной территории №1057 ТОО «ТУЗКОЛЬМУНАЙГАЗ ОПЕРЕЙТИНГ» на 2027 год.</w:t>
      </w:r>
    </w:p>
    <w:p w14:paraId="5C84BBA3">
      <w:pPr>
        <w:autoSpaceDE w:val="0"/>
        <w:autoSpaceDN w:val="0"/>
        <w:adjustRightInd w:val="0"/>
        <w:spacing w:after="0" w:line="240" w:lineRule="auto"/>
        <w:ind w:left="0" w:leftChars="0" w:firstLine="660" w:firstLineChars="275"/>
        <w:jc w:val="both"/>
        <w:rPr>
          <w:rFonts w:hint="default" w:ascii="Times New Roman" w:hAnsi="Times New Roman" w:eastAsia="Calibri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Calibri" w:cs="Times New Roman"/>
          <w:color w:val="000000"/>
          <w:sz w:val="24"/>
          <w:szCs w:val="24"/>
          <w:lang w:eastAsia="ru-RU"/>
        </w:rPr>
        <w:t xml:space="preserve">Местонахождение объекта: РК, Кызылординская область, Сырдарьинский район, контрактная территория 1057 ТОО «ТузкольМунайГазОперейтинг». </w:t>
      </w:r>
    </w:p>
    <w:p w14:paraId="6B1F3D18">
      <w:pPr>
        <w:autoSpaceDE w:val="0"/>
        <w:autoSpaceDN w:val="0"/>
        <w:adjustRightInd w:val="0"/>
        <w:spacing w:after="0" w:line="240" w:lineRule="auto"/>
        <w:ind w:left="0" w:leftChars="0" w:firstLine="660" w:firstLineChars="275"/>
        <w:jc w:val="both"/>
        <w:rPr>
          <w:rFonts w:hint="default" w:ascii="Times New Roman" w:hAnsi="Times New Roman" w:eastAsia="Calibri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Calibri" w:cs="Times New Roman"/>
          <w:color w:val="000000"/>
          <w:sz w:val="24"/>
          <w:szCs w:val="24"/>
          <w:lang w:eastAsia="ru-RU"/>
        </w:rPr>
        <w:t xml:space="preserve">Основным направлением деятельности компании - добыча нефти и газа. </w:t>
      </w:r>
    </w:p>
    <w:p w14:paraId="2877BC9A">
      <w:pPr>
        <w:autoSpaceDE w:val="0"/>
        <w:autoSpaceDN w:val="0"/>
        <w:adjustRightInd w:val="0"/>
        <w:spacing w:after="0" w:line="240" w:lineRule="auto"/>
        <w:ind w:left="0" w:leftChars="0" w:firstLine="660" w:firstLineChars="275"/>
        <w:jc w:val="both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color w:val="000000"/>
          <w:sz w:val="24"/>
          <w:szCs w:val="24"/>
          <w:lang w:eastAsia="ru-RU"/>
        </w:rPr>
        <w:t>Месторождение разрабатывается компаниями ТОО «SSM-Ойл» и ТОО «Кольжан», имеющими Контракт №1057 от 11.12.2002 г. для разведки и добычи углеводородного сырья в пределах блоков, расположенных в Сырдарьинском районе Кызылординской области РК. Срок действия Контракта №1057 на разведку между недропользователем и МНГ РК был продлён до 11.12.2018 года. Дополнением №15 от 24.09.2018г. к Контракту №1057 от 11.12.2002 года срок действия Контракта продлён.</w:t>
      </w:r>
    </w:p>
    <w:p w14:paraId="2BB6BF7D">
      <w:pPr>
        <w:autoSpaceDE w:val="0"/>
        <w:autoSpaceDN w:val="0"/>
        <w:adjustRightInd w:val="0"/>
        <w:spacing w:after="0" w:line="240" w:lineRule="auto"/>
        <w:ind w:left="0" w:leftChars="0" w:right="-143" w:firstLine="660" w:firstLineChars="275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2) описание затрагиваемой территории с указанием численности ее населения, участков, на которых могут быть обнаружены выбросы, сбросы и иные негативные воздействия намечаемой деятельности на окружающую среду, с учетом их характеристик и способности переноса в окружающую среду; участков извлечения природных ресурсов и захоронения отходов; </w:t>
      </w:r>
    </w:p>
    <w:p w14:paraId="5A792871">
      <w:pPr>
        <w:autoSpaceDE w:val="0"/>
        <w:autoSpaceDN w:val="0"/>
        <w:adjustRightInd w:val="0"/>
        <w:spacing w:after="0" w:line="240" w:lineRule="auto"/>
        <w:ind w:left="0" w:leftChars="0" w:firstLine="660" w:firstLineChars="275"/>
        <w:jc w:val="both"/>
        <w:rPr>
          <w:rFonts w:hint="default" w:ascii="Times New Roman" w:hAnsi="Times New Roman" w:eastAsia="Calibri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Calibri" w:cs="Times New Roman"/>
          <w:color w:val="000000"/>
          <w:sz w:val="24"/>
          <w:szCs w:val="24"/>
          <w:lang w:eastAsia="ru-RU"/>
        </w:rPr>
        <w:t xml:space="preserve">В географическом отношении структура контрактной территории №1057, месторождения Жанбырши занимает южную часть Тургайской впадины (рис.1.1). </w:t>
      </w:r>
    </w:p>
    <w:p w14:paraId="75114DAA">
      <w:pPr>
        <w:autoSpaceDE w:val="0"/>
        <w:autoSpaceDN w:val="0"/>
        <w:adjustRightInd w:val="0"/>
        <w:spacing w:after="0" w:line="240" w:lineRule="auto"/>
        <w:ind w:left="0" w:leftChars="0" w:firstLine="660" w:firstLineChars="275"/>
        <w:jc w:val="both"/>
        <w:rPr>
          <w:rFonts w:hint="default" w:ascii="Times New Roman" w:hAnsi="Times New Roman" w:eastAsia="Calibri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Calibri" w:cs="Times New Roman"/>
          <w:color w:val="000000"/>
          <w:sz w:val="24"/>
          <w:szCs w:val="24"/>
          <w:lang w:eastAsia="ru-RU"/>
        </w:rPr>
        <w:t xml:space="preserve">Ближайшими населенными пунктами являются: областной центр г. Кызылорда (к югу 110 км), ж.д. станция Теренозек (к юго-западу 100 км), ж.д. станция Жалагаш (150 км) и ж.д. станция Жосалы (к западу 210 км). </w:t>
      </w:r>
    </w:p>
    <w:p w14:paraId="33DD7210">
      <w:pPr>
        <w:autoSpaceDE w:val="0"/>
        <w:autoSpaceDN w:val="0"/>
        <w:adjustRightInd w:val="0"/>
        <w:spacing w:after="0" w:line="240" w:lineRule="auto"/>
        <w:ind w:left="0" w:leftChars="0" w:firstLine="660" w:firstLineChars="275"/>
        <w:jc w:val="both"/>
        <w:rPr>
          <w:rFonts w:hint="default" w:ascii="Times New Roman" w:hAnsi="Times New Roman" w:eastAsia="Calibri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Calibri" w:cs="Times New Roman"/>
          <w:color w:val="000000"/>
          <w:sz w:val="24"/>
          <w:szCs w:val="24"/>
          <w:lang w:eastAsia="ru-RU"/>
        </w:rPr>
        <w:t xml:space="preserve">Месторождение Тузколь имеет сложное геологическое строение, обусловленное наличием большого количества разрывных нарушений преимущественно северного направления. </w:t>
      </w:r>
    </w:p>
    <w:p w14:paraId="516D9AAA">
      <w:pPr>
        <w:autoSpaceDE w:val="0"/>
        <w:autoSpaceDN w:val="0"/>
        <w:adjustRightInd w:val="0"/>
        <w:spacing w:after="0" w:line="240" w:lineRule="auto"/>
        <w:ind w:left="0" w:leftChars="0" w:firstLine="660" w:firstLineChars="275"/>
        <w:jc w:val="both"/>
        <w:rPr>
          <w:rFonts w:hint="default" w:ascii="Times New Roman" w:hAnsi="Times New Roman" w:eastAsia="Calibri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Calibri" w:cs="Times New Roman"/>
          <w:color w:val="000000"/>
          <w:sz w:val="24"/>
          <w:szCs w:val="24"/>
          <w:lang w:eastAsia="ru-RU"/>
        </w:rPr>
        <w:t xml:space="preserve">Источники электроснабжения отсутствуют. Электроснабжение и теплоснабжение обеспечивается автономными электростанциями, работающими на дизтопливе. </w:t>
      </w:r>
    </w:p>
    <w:p w14:paraId="74D35734">
      <w:pPr>
        <w:autoSpaceDE w:val="0"/>
        <w:autoSpaceDN w:val="0"/>
        <w:adjustRightInd w:val="0"/>
        <w:spacing w:after="0" w:line="240" w:lineRule="auto"/>
        <w:ind w:left="0" w:leftChars="0" w:firstLine="660" w:firstLineChars="275"/>
        <w:jc w:val="both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color w:val="000000"/>
          <w:sz w:val="24"/>
          <w:szCs w:val="24"/>
          <w:lang w:eastAsia="ru-RU"/>
        </w:rPr>
        <w:t>Дорожная сеть месторождений представлена межпромысловыми песчано- гравийными и грунтовыми дорогами. Грунтовые дороги труднопроходимы в весенне-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 xml:space="preserve"> осенний период. Район относится к пустынным и полупустынным зонам Центрального Казахстана.</w:t>
      </w:r>
    </w:p>
    <w:p w14:paraId="317A6AB5">
      <w:pPr>
        <w:autoSpaceDE w:val="0"/>
        <w:autoSpaceDN w:val="0"/>
        <w:adjustRightInd w:val="0"/>
        <w:spacing w:after="0" w:line="240" w:lineRule="auto"/>
        <w:ind w:left="0" w:leftChars="0" w:right="-143" w:firstLine="660" w:firstLineChars="275"/>
        <w:jc w:val="both"/>
        <w:rPr>
          <w:rFonts w:hint="default" w:ascii="Times New Roman" w:hAnsi="Times New Roman" w:eastAsia="sans-serif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 xml:space="preserve">Географические координаты: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45º83ʹ11ʺ , 65º65ʹ95ʺ</w:t>
      </w:r>
    </w:p>
    <w:p w14:paraId="71F65731">
      <w:pPr>
        <w:pStyle w:val="2"/>
        <w:keepNext w:val="0"/>
        <w:keepLines w:val="0"/>
        <w:widowControl/>
        <w:suppressLineNumbers w:val="0"/>
        <w:spacing w:before="0" w:beforeAutospacing="0" w:line="15" w:lineRule="atLeast"/>
        <w:ind w:left="0" w:leftChars="0" w:firstLine="660" w:firstLineChars="275"/>
        <w:rPr>
          <w:rFonts w:hint="default" w:ascii="Times New Roman" w:hAnsi="Times New Roman" w:eastAsia="sans-serif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sz w:val="24"/>
          <w:szCs w:val="24"/>
        </w:rPr>
        <w:t>Введение и основание для разработки</w:t>
      </w:r>
    </w:p>
    <w:p w14:paraId="29A62850">
      <w:pPr>
        <w:pStyle w:val="5"/>
        <w:keepNext w:val="0"/>
        <w:keepLines w:val="0"/>
        <w:widowControl/>
        <w:suppressLineNumbers w:val="0"/>
        <w:spacing w:before="0" w:beforeAutospacing="0" w:line="15" w:lineRule="atLeast"/>
        <w:ind w:left="0" w:leftChars="0" w:firstLine="660" w:firstLineChars="275"/>
        <w:rPr>
          <w:rFonts w:hint="default" w:ascii="Times New Roman" w:hAnsi="Times New Roman" w:eastAsia="sans-serif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sz w:val="24"/>
          <w:szCs w:val="24"/>
        </w:rPr>
        <w:t xml:space="preserve">Проект разработан для оценки воздействия на атмосферный воздух производственной деятельности месторождений Тузколь и Северный Кетеказган в Сырдарьинском районе Кызылординской области. Документ устанавливает экологические нормативы выбросов вредных веществ в атмосферу на 2027 год. Необходимость разработки проекта продиктована утвержденными программами развития переработки сырого газа на данных месторождениях, а также требованиями экологического законодательства Республики Казахстан. </w:t>
      </w:r>
    </w:p>
    <w:p w14:paraId="7180B442">
      <w:pPr>
        <w:pStyle w:val="2"/>
        <w:keepNext w:val="0"/>
        <w:keepLines w:val="0"/>
        <w:widowControl/>
        <w:suppressLineNumbers w:val="0"/>
        <w:spacing w:before="0" w:beforeAutospacing="0" w:line="15" w:lineRule="atLeast"/>
        <w:ind w:left="0" w:leftChars="0" w:firstLine="660" w:firstLineChars="275"/>
        <w:rPr>
          <w:rFonts w:hint="default" w:ascii="Times New Roman" w:hAnsi="Times New Roman" w:eastAsia="sans-serif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sz w:val="24"/>
          <w:szCs w:val="24"/>
        </w:rPr>
        <w:t>Характеристика предприятия и производственные показатели</w:t>
      </w:r>
    </w:p>
    <w:p w14:paraId="443048E8">
      <w:pPr>
        <w:pStyle w:val="5"/>
        <w:keepNext w:val="0"/>
        <w:keepLines w:val="0"/>
        <w:widowControl/>
        <w:suppressLineNumbers w:val="0"/>
        <w:spacing w:before="0" w:beforeAutospacing="0" w:line="15" w:lineRule="atLeast"/>
        <w:ind w:left="0" w:leftChars="0" w:firstLine="660" w:firstLineChars="275"/>
        <w:rPr>
          <w:rFonts w:hint="default" w:ascii="Times New Roman" w:hAnsi="Times New Roman" w:eastAsia="sans-serif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sz w:val="24"/>
          <w:szCs w:val="24"/>
        </w:rPr>
        <w:t xml:space="preserve">Контрактная территория №1057 управляется ТОО «ТУЗКОЛЬМУНАЙГАЗ ОПЕРЕЙТИНГ» (оператор по контракту №1057 от 2002 года). Основная деятельность заключается в разведке и добыче углеводородного сырья. </w:t>
      </w:r>
    </w:p>
    <w:p w14:paraId="6F6905C5">
      <w:pPr>
        <w:pStyle w:val="5"/>
        <w:keepNext w:val="0"/>
        <w:keepLines w:val="0"/>
        <w:widowControl/>
        <w:suppressLineNumbers w:val="0"/>
        <w:spacing w:before="0" w:beforeAutospacing="0" w:line="15" w:lineRule="atLeast"/>
        <w:ind w:left="720"/>
        <w:rPr>
          <w:rFonts w:hint="default" w:ascii="Times New Roman" w:hAnsi="Times New Roman" w:eastAsia="sans-serif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b/>
          <w:bCs/>
          <w:sz w:val="24"/>
          <w:szCs w:val="24"/>
        </w:rPr>
        <w:t>Месторождение Тузколь</w:t>
      </w:r>
      <w:r>
        <w:rPr>
          <w:rFonts w:hint="default" w:ascii="Times New Roman" w:hAnsi="Times New Roman" w:eastAsia="sans-serif" w:cs="Times New Roman"/>
          <w:sz w:val="24"/>
          <w:szCs w:val="24"/>
        </w:rPr>
        <w:t xml:space="preserve">: В 2027 году планируется добыча 120,16 млн м³ газа, из которых 99,8% подлежит утилизации. Газ направляется на собственные нужды, на процессинг на ГПЗ месторождения Акшабулак и для реализации. </w:t>
      </w:r>
    </w:p>
    <w:p w14:paraId="2B0ED2AC">
      <w:pPr>
        <w:pStyle w:val="5"/>
        <w:keepNext w:val="0"/>
        <w:keepLines w:val="0"/>
        <w:widowControl/>
        <w:suppressLineNumbers w:val="0"/>
        <w:spacing w:before="0" w:beforeAutospacing="0" w:line="15" w:lineRule="atLeast"/>
        <w:ind w:left="720"/>
        <w:rPr>
          <w:rFonts w:hint="default" w:ascii="Times New Roman" w:hAnsi="Times New Roman" w:eastAsia="sans-serif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b/>
          <w:bCs/>
          <w:sz w:val="24"/>
          <w:szCs w:val="24"/>
        </w:rPr>
        <w:t>Месторождение Северный Кетеказган</w:t>
      </w:r>
      <w:r>
        <w:rPr>
          <w:rFonts w:hint="default" w:ascii="Times New Roman" w:hAnsi="Times New Roman" w:eastAsia="sans-serif" w:cs="Times New Roman"/>
          <w:sz w:val="24"/>
          <w:szCs w:val="24"/>
        </w:rPr>
        <w:t xml:space="preserve">: Плановая добыча газа составляет 3,5 млн м³, при этом технологически неизбежное сжигание сырого газа не предусмотрено. </w:t>
      </w:r>
    </w:p>
    <w:p w14:paraId="2AAE95AF">
      <w:pPr>
        <w:pStyle w:val="2"/>
        <w:keepNext w:val="0"/>
        <w:keepLines w:val="0"/>
        <w:widowControl/>
        <w:suppressLineNumbers w:val="0"/>
        <w:spacing w:before="0" w:beforeAutospacing="0" w:line="15" w:lineRule="atLeast"/>
        <w:rPr>
          <w:rFonts w:hint="default" w:ascii="Times New Roman" w:hAnsi="Times New Roman" w:eastAsia="sans-serif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sz w:val="24"/>
          <w:szCs w:val="24"/>
        </w:rPr>
        <w:t>Климатические условия</w:t>
      </w:r>
    </w:p>
    <w:p w14:paraId="67C5BA80">
      <w:pPr>
        <w:pStyle w:val="5"/>
        <w:keepNext w:val="0"/>
        <w:keepLines w:val="0"/>
        <w:widowControl/>
        <w:suppressLineNumbers w:val="0"/>
        <w:spacing w:before="0" w:beforeAutospacing="0" w:line="15" w:lineRule="atLeast"/>
        <w:rPr>
          <w:rFonts w:hint="default" w:ascii="Times New Roman" w:hAnsi="Times New Roman" w:eastAsia="sans-serif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sz w:val="24"/>
          <w:szCs w:val="24"/>
        </w:rPr>
        <w:t xml:space="preserve">Объект расположен в зоне резко континентального климата с жарким сухим летом и холодной зимой. Район характеризуется сильной засушливостью, частыми пыльными бурями в теплый период и метелями в холодный. Годовая скорость ветра составляет от 3,5 до 5,5 м/сек, преобладают восточные и северо-восточные направления, что учитывалось при проведении расчетов рассеивания выбросов. </w:t>
      </w:r>
    </w:p>
    <w:p w14:paraId="247BAE4D">
      <w:pPr>
        <w:pStyle w:val="2"/>
        <w:keepNext w:val="0"/>
        <w:keepLines w:val="0"/>
        <w:widowControl/>
        <w:suppressLineNumbers w:val="0"/>
        <w:spacing w:before="0" w:beforeAutospacing="0" w:line="15" w:lineRule="atLeast"/>
        <w:rPr>
          <w:rFonts w:hint="default" w:ascii="Times New Roman" w:hAnsi="Times New Roman" w:eastAsia="sans-serif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sz w:val="24"/>
          <w:szCs w:val="24"/>
        </w:rPr>
        <w:t>Источники выбросов и состояние технологий</w:t>
      </w:r>
    </w:p>
    <w:p w14:paraId="7491847E">
      <w:pPr>
        <w:pStyle w:val="5"/>
        <w:keepNext w:val="0"/>
        <w:keepLines w:val="0"/>
        <w:widowControl/>
        <w:suppressLineNumbers w:val="0"/>
        <w:spacing w:before="0" w:beforeAutospacing="0" w:line="15" w:lineRule="atLeast"/>
        <w:rPr>
          <w:rFonts w:hint="default" w:ascii="Times New Roman" w:hAnsi="Times New Roman" w:eastAsia="sans-serif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sz w:val="24"/>
          <w:szCs w:val="24"/>
        </w:rPr>
        <w:t xml:space="preserve">На контрактной территории на 2027 год запланировано функционирование 45 источников выбросов: 21 организованный (факельные установки, печи подогрева нефти, резервуары) и 24 неорганизованных (карьеры, неплотности запорно-регулирующей арматуры). </w:t>
      </w:r>
    </w:p>
    <w:p w14:paraId="202150F7">
      <w:pPr>
        <w:pStyle w:val="5"/>
        <w:keepNext w:val="0"/>
        <w:keepLines w:val="0"/>
        <w:widowControl/>
        <w:suppressLineNumbers w:val="0"/>
        <w:spacing w:before="0" w:beforeAutospacing="0" w:line="15" w:lineRule="atLeast"/>
        <w:ind w:left="720"/>
        <w:rPr>
          <w:rFonts w:hint="default" w:ascii="Times New Roman" w:hAnsi="Times New Roman" w:eastAsia="sans-serif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sz w:val="24"/>
          <w:szCs w:val="24"/>
        </w:rPr>
        <w:t xml:space="preserve">Газоочистное оборудование на объектах отсутствует. </w:t>
      </w:r>
    </w:p>
    <w:p w14:paraId="0A5D00A7">
      <w:pPr>
        <w:pStyle w:val="5"/>
        <w:keepNext w:val="0"/>
        <w:keepLines w:val="0"/>
        <w:widowControl/>
        <w:suppressLineNumbers w:val="0"/>
        <w:spacing w:before="0" w:beforeAutospacing="0" w:line="15" w:lineRule="atLeast"/>
        <w:ind w:left="720"/>
        <w:rPr>
          <w:rFonts w:hint="default" w:ascii="Times New Roman" w:hAnsi="Times New Roman" w:eastAsia="sans-serif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sz w:val="24"/>
          <w:szCs w:val="24"/>
        </w:rPr>
        <w:t xml:space="preserve">Применяемая технология и оборудование соответствуют современным стандартам. </w:t>
      </w:r>
    </w:p>
    <w:p w14:paraId="10627CEE">
      <w:pPr>
        <w:pStyle w:val="5"/>
        <w:keepNext w:val="0"/>
        <w:keepLines w:val="0"/>
        <w:widowControl/>
        <w:suppressLineNumbers w:val="0"/>
        <w:spacing w:before="0" w:beforeAutospacing="0" w:line="15" w:lineRule="atLeast"/>
        <w:ind w:left="720"/>
        <w:rPr>
          <w:rFonts w:hint="default" w:ascii="Times New Roman" w:hAnsi="Times New Roman" w:eastAsia="sans-serif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sz w:val="24"/>
          <w:szCs w:val="24"/>
        </w:rPr>
        <w:t xml:space="preserve">Аварийные ситуации предотвращаются регулярным контролем и профилактическим обслуживанием; залповые выбросы (кратковременные) не нормируются. </w:t>
      </w:r>
    </w:p>
    <w:p w14:paraId="1D6758DA">
      <w:pPr>
        <w:pStyle w:val="2"/>
        <w:keepNext w:val="0"/>
        <w:keepLines w:val="0"/>
        <w:widowControl/>
        <w:suppressLineNumbers w:val="0"/>
        <w:spacing w:before="0" w:beforeAutospacing="0" w:line="15" w:lineRule="atLeast"/>
        <w:rPr>
          <w:rFonts w:hint="default" w:ascii="Times New Roman" w:hAnsi="Times New Roman" w:eastAsia="sans-serif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sz w:val="24"/>
          <w:szCs w:val="24"/>
        </w:rPr>
        <w:t>Экологические показатели и контроль</w:t>
      </w:r>
    </w:p>
    <w:p w14:paraId="65EFFFBF">
      <w:pPr>
        <w:pStyle w:val="5"/>
        <w:keepNext w:val="0"/>
        <w:keepLines w:val="0"/>
        <w:widowControl/>
        <w:suppressLineNumbers w:val="0"/>
        <w:spacing w:before="0" w:beforeAutospacing="0" w:line="15" w:lineRule="atLeast"/>
        <w:rPr>
          <w:rFonts w:hint="default" w:ascii="Times New Roman" w:hAnsi="Times New Roman" w:eastAsia="sans-serif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sz w:val="24"/>
          <w:szCs w:val="24"/>
        </w:rPr>
        <w:t xml:space="preserve">Суммарные фактические выбросы загрязняющих веществ в 2027 году при эксплуатации с учетом проведения ремонтных работ и использования карьеров ожидаются на уровне ~50,77 г/с и 77,6 т/год. К числу основных выбрасываемых веществ относятся диоксиды азота, оксид углерода, метан, сажа, углеводороды и другие компоненты. </w:t>
      </w:r>
    </w:p>
    <w:p w14:paraId="76B97127">
      <w:pPr>
        <w:pStyle w:val="5"/>
        <w:keepNext w:val="0"/>
        <w:keepLines w:val="0"/>
        <w:widowControl/>
        <w:suppressLineNumbers w:val="0"/>
        <w:spacing w:before="0" w:beforeAutospacing="0" w:line="15" w:lineRule="atLeast"/>
        <w:rPr>
          <w:rFonts w:hint="default" w:ascii="Times New Roman" w:hAnsi="Times New Roman" w:eastAsia="sans-serif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sz w:val="24"/>
          <w:szCs w:val="24"/>
        </w:rPr>
        <w:t>Для обеспечения экологической безопасности проект предусматривает:</w:t>
      </w:r>
    </w:p>
    <w:p w14:paraId="50CD69DB">
      <w:pPr>
        <w:pStyle w:val="5"/>
        <w:keepNext w:val="0"/>
        <w:keepLines w:val="0"/>
        <w:widowControl/>
        <w:suppressLineNumbers w:val="0"/>
        <w:spacing w:before="0" w:beforeAutospacing="0" w:line="15" w:lineRule="atLeast"/>
        <w:ind w:left="720"/>
        <w:rPr>
          <w:rFonts w:hint="default" w:ascii="Times New Roman" w:hAnsi="Times New Roman" w:eastAsia="sans-serif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sz w:val="24"/>
          <w:szCs w:val="24"/>
        </w:rPr>
        <w:t xml:space="preserve">Регулярный контроль соблюдения нормативов предельно допустимых выбросов. </w:t>
      </w:r>
    </w:p>
    <w:p w14:paraId="2B902C71">
      <w:pPr>
        <w:pStyle w:val="5"/>
        <w:keepNext w:val="0"/>
        <w:keepLines w:val="0"/>
        <w:widowControl/>
        <w:suppressLineNumbers w:val="0"/>
        <w:spacing w:before="0" w:beforeAutospacing="0" w:line="15" w:lineRule="atLeast"/>
        <w:ind w:left="720"/>
        <w:rPr>
          <w:rFonts w:hint="default" w:ascii="Times New Roman" w:hAnsi="Times New Roman" w:eastAsia="sans-serif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sz w:val="24"/>
          <w:szCs w:val="24"/>
        </w:rPr>
        <w:t xml:space="preserve">Реализацию плана технических мероприятий по снижению выбросов. </w:t>
      </w:r>
    </w:p>
    <w:p w14:paraId="59D1B87D">
      <w:pPr>
        <w:pStyle w:val="5"/>
        <w:keepNext w:val="0"/>
        <w:keepLines w:val="0"/>
        <w:widowControl/>
        <w:suppressLineNumbers w:val="0"/>
        <w:spacing w:before="0" w:beforeAutospacing="0" w:line="15" w:lineRule="atLeast"/>
        <w:ind w:left="720"/>
        <w:rPr>
          <w:rFonts w:hint="default" w:ascii="Times New Roman" w:hAnsi="Times New Roman" w:eastAsia="sans-serif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sz w:val="24"/>
          <w:szCs w:val="24"/>
        </w:rPr>
        <w:t>Мероприятия по регулированию выбросов при неблагоприятных метеорологических усло</w:t>
      </w:r>
      <w:bookmarkStart w:id="0" w:name="_GoBack"/>
      <w:bookmarkEnd w:id="0"/>
      <w:r>
        <w:rPr>
          <w:rFonts w:hint="default" w:ascii="Times New Roman" w:hAnsi="Times New Roman" w:eastAsia="sans-serif" w:cs="Times New Roman"/>
          <w:sz w:val="24"/>
          <w:szCs w:val="24"/>
        </w:rPr>
        <w:t xml:space="preserve">виях (НМУ). </w:t>
      </w:r>
    </w:p>
    <w:p w14:paraId="76094FE5">
      <w:pPr>
        <w:pStyle w:val="5"/>
        <w:keepNext w:val="0"/>
        <w:keepLines w:val="0"/>
        <w:widowControl/>
        <w:suppressLineNumbers w:val="0"/>
        <w:spacing w:before="0" w:beforeAutospacing="0" w:line="15" w:lineRule="atLeast"/>
        <w:ind w:left="0" w:leftChars="0" w:firstLine="0" w:firstLineChars="0"/>
        <w:jc w:val="both"/>
        <w:rPr>
          <w:rFonts w:hint="default" w:ascii="sans-serif" w:hAnsi="sans-serif" w:eastAsia="sans-serif" w:cs="sans-serif"/>
        </w:rPr>
      </w:pPr>
      <w:r>
        <w:drawing>
          <wp:inline distT="0" distB="0" distL="114300" distR="114300">
            <wp:extent cx="5271135" cy="4494530"/>
            <wp:effectExtent l="0" t="0" r="5715" b="127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49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55B0C"/>
    <w:sectPr>
      <w:pgSz w:w="11906" w:h="16838"/>
      <w:pgMar w:top="1440" w:right="866" w:bottom="1440" w:left="136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ans-serif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175028"/>
    <w:rsid w:val="5717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2026-06-24T06:14:00Z</dcterms:created>
  <dc:creator>User</dc:creator>
  <cp:lastModifiedBy>User</cp:lastModifiedBy>
  <dcterms:modified xsi:type="dcterms:W3CDTF">2026-06-24T06:19:38Z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DE7F8AD54A614CD6AA2C2539031E434C_11</vt:lpwstr>
  </property>
  <property fmtid="{D5CDD505-2E9C-101B-9397-08002B2CF9AE}" pid="4" name="KSOTemplateDocerSaveRecord">
    <vt:lpwstr>eyJoZGlkIjoiNDI0ZjBhMzhlYmU2MjQzMDk4MGE3YzkyMWQ0NTY2MjIifQ==</vt:lpwstr>
  </property>
</Properties>
</file>