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8B58" w14:textId="3B650CF6" w:rsidR="00DA6F0F" w:rsidRPr="00496D7B" w:rsidRDefault="00DA6F0F" w:rsidP="00496D7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6D7B">
        <w:rPr>
          <w:rFonts w:ascii="Times New Roman" w:hAnsi="Times New Roman" w:cs="Times New Roman"/>
          <w:b/>
          <w:bCs/>
        </w:rPr>
        <w:t>НЕТЕХНИЧЕСКОЕ РЕЗЮМЕ</w:t>
      </w:r>
    </w:p>
    <w:p w14:paraId="4E4DBE2B" w14:textId="0B1C657A" w:rsidR="00C81C61" w:rsidRPr="00496D7B" w:rsidRDefault="00C81C61" w:rsidP="00496D7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6D7B">
        <w:rPr>
          <w:rFonts w:ascii="Times New Roman" w:hAnsi="Times New Roman" w:cs="Times New Roman"/>
          <w:b/>
          <w:bCs/>
        </w:rPr>
        <w:t xml:space="preserve">Раздел «Охрана окружающей среды» </w:t>
      </w:r>
      <w:r w:rsidR="001C52DA" w:rsidRPr="00496D7B">
        <w:rPr>
          <w:rFonts w:ascii="Times New Roman" w:hAnsi="Times New Roman" w:cs="Times New Roman"/>
          <w:b/>
          <w:bCs/>
        </w:rPr>
        <w:t>к «</w:t>
      </w:r>
      <w:r w:rsidR="00950A10" w:rsidRPr="00496D7B">
        <w:rPr>
          <w:rFonts w:ascii="Times New Roman" w:hAnsi="Times New Roman" w:cs="Times New Roman"/>
          <w:b/>
          <w:bCs/>
        </w:rPr>
        <w:t>Проекту ликвидации и консервации последствий недропользования при разведке углеводородов на Аккулковской нефтегазоносной площади</w:t>
      </w:r>
      <w:r w:rsidR="001C52DA" w:rsidRPr="00496D7B">
        <w:rPr>
          <w:rFonts w:ascii="Times New Roman" w:hAnsi="Times New Roman" w:cs="Times New Roman"/>
          <w:b/>
          <w:bCs/>
        </w:rPr>
        <w:t>»</w:t>
      </w:r>
    </w:p>
    <w:p w14:paraId="04F90E26" w14:textId="77777777" w:rsidR="00C81C61" w:rsidRPr="00496D7B" w:rsidRDefault="00C81C61" w:rsidP="00496D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9927299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ТОО «ТетисАралГаз» (далее «Недропользователь») осуществляет свою деятельность на основании Контракта №265 от 17.11.1998 г (далее по тексту – Контракт) на проведение разведки углеводородов на Аккулковской нефтегазоносной площади в пределах блоков XXIX-23-B (частично), C (частично), E (частично), F (частично); XXIX-24-A (частично), B (частично), D (частично), E (частично), F (частично); XXIX-25-D (частично); XXX-24-A (частично), B (частично), C (частично); XXX-25-A (частично), за исключением территории газовых месторождений Аккулковское и Кызылой в соответствии с Лицензией серии ГКИ №1513 от 17.11.1989 г. и Дополнениями к Контракту.</w:t>
      </w:r>
    </w:p>
    <w:p w14:paraId="4619E7EA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В административно-территориальном отношении Аккулковская нефтегазоносная площадь расположена на территории Шалкарского и Байганинского районов Актюбинской области.</w:t>
      </w:r>
    </w:p>
    <w:p w14:paraId="7B3FA470" w14:textId="1FC3F9D5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Площадь геологического отвода, за вычетом исключаемых газовых месторождений Кызылой и Аккулковское, составляет 826,86 кв. км. Глубина отвода – до кровли фундамента. </w:t>
      </w:r>
    </w:p>
    <w:p w14:paraId="53944955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Район работ расположен в северо-восточной части плато Устюрт. Территория относится к зоне северных пустынь.</w:t>
      </w:r>
    </w:p>
    <w:p w14:paraId="2EAF1701" w14:textId="2572654C" w:rsidR="00C81C61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Плато Устюрт – это плоская, пологоволнистая равнина с небольшим уклоном на юг, прорезанная оврагами, сухими руслами, с небольшими (до 1м) карстовыми западинами, с невысокими станицами.</w:t>
      </w:r>
    </w:p>
    <w:p w14:paraId="3A8494EE" w14:textId="33C5F11B" w:rsidR="00C24D6A" w:rsidRPr="00496D7B" w:rsidRDefault="00C24D6A" w:rsidP="00496D7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14:ligatures w14:val="none"/>
        </w:rPr>
      </w:pPr>
      <w:r w:rsidRPr="00496D7B">
        <w:rPr>
          <w:rFonts w:ascii="Times New Roman" w:eastAsia="Calibri" w:hAnsi="Times New Roman" w:cs="Times New Roman"/>
          <w:b/>
          <w:bCs/>
          <w14:ligatures w14:val="none"/>
        </w:rPr>
        <w:t>Координаты угловых точек возвращаемой контрактной территории</w:t>
      </w:r>
      <w:r w:rsidR="00496D7B">
        <w:rPr>
          <w:rFonts w:ascii="Times New Roman" w:eastAsia="Calibri" w:hAnsi="Times New Roman" w:cs="Times New Roman"/>
          <w:b/>
          <w:bCs/>
          <w14:ligatures w14:val="none"/>
        </w:rPr>
        <w:t xml:space="preserve"> </w:t>
      </w:r>
      <w:r w:rsidRPr="00496D7B">
        <w:rPr>
          <w:rFonts w:ascii="Times New Roman" w:eastAsia="Calibri" w:hAnsi="Times New Roman" w:cs="Times New Roman"/>
          <w:b/>
          <w:bCs/>
          <w14:ligatures w14:val="none"/>
        </w:rPr>
        <w:t>ТОО «Тетис АралГаз»</w:t>
      </w:r>
    </w:p>
    <w:tbl>
      <w:tblPr>
        <w:tblW w:w="887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8"/>
        <w:gridCol w:w="3544"/>
        <w:gridCol w:w="3446"/>
      </w:tblGrid>
      <w:tr w:rsidR="00C24D6A" w:rsidRPr="00496D7B" w14:paraId="265EBE9E" w14:textId="77777777" w:rsidTr="00496D7B">
        <w:trPr>
          <w:trHeight w:val="319"/>
          <w:jc w:val="center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24EBF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Угловые точки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B885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Северная широта 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BCED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Восточная долгота</w:t>
            </w:r>
          </w:p>
        </w:tc>
      </w:tr>
      <w:tr w:rsidR="00C24D6A" w:rsidRPr="00496D7B" w14:paraId="68B11DAE" w14:textId="77777777" w:rsidTr="00496D7B">
        <w:trPr>
          <w:trHeight w:val="70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8A3E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B3402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46° 04' 52''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EF24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57° 45' 00''</w:t>
            </w:r>
          </w:p>
        </w:tc>
      </w:tr>
      <w:tr w:rsidR="00C24D6A" w:rsidRPr="00496D7B" w14:paraId="22A3513B" w14:textId="77777777" w:rsidTr="00EC24A8">
        <w:trPr>
          <w:trHeight w:val="85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81BC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0E38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46° 17' 50''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5D2E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57° 50' 51''</w:t>
            </w:r>
          </w:p>
        </w:tc>
      </w:tr>
      <w:tr w:rsidR="00C24D6A" w:rsidRPr="00496D7B" w14:paraId="5DFDC54A" w14:textId="77777777" w:rsidTr="00EC24A8">
        <w:trPr>
          <w:trHeight w:val="20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FBA7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30D9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46° 01' 47''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E659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58° 39' 37''</w:t>
            </w:r>
          </w:p>
        </w:tc>
      </w:tr>
      <w:tr w:rsidR="00C24D6A" w:rsidRPr="00496D7B" w14:paraId="653030AC" w14:textId="77777777" w:rsidTr="00EC24A8">
        <w:trPr>
          <w:trHeight w:val="20"/>
          <w:jc w:val="center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835E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96D7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A509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45° 50' 00''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A15B8" w14:textId="77777777" w:rsidR="00C24D6A" w:rsidRPr="00496D7B" w:rsidRDefault="00C24D6A" w:rsidP="0049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  <w:r w:rsidRPr="00496D7B">
              <w:rPr>
                <w:rFonts w:ascii="Times New Roman" w:eastAsia="SimSun" w:hAnsi="Times New Roman" w:cs="Times New Roman"/>
                <w:color w:val="000000"/>
                <w:kern w:val="0"/>
                <w:lang w:eastAsia="zh-CN"/>
                <w14:ligatures w14:val="none"/>
              </w:rPr>
              <w:t>58° 30' 00''</w:t>
            </w:r>
          </w:p>
        </w:tc>
      </w:tr>
    </w:tbl>
    <w:p w14:paraId="04C82801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E1F902" w14:textId="64EBE23C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</w:rPr>
        <w:t>Сведения об инициаторе намечаемой деятельности, его контактные данные</w:t>
      </w:r>
    </w:p>
    <w:p w14:paraId="033DBFE7" w14:textId="06E4B3F6" w:rsidR="00C24D6A" w:rsidRPr="00496D7B" w:rsidRDefault="00C24D6A" w:rsidP="00496D7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96D7B">
        <w:rPr>
          <w:rFonts w:ascii="Times New Roman" w:hAnsi="Times New Roman" w:cs="Times New Roman"/>
        </w:rPr>
        <w:t>Инициатор намечаемой деятельности: ТОО «</w:t>
      </w:r>
      <w:r w:rsidRPr="00496D7B">
        <w:rPr>
          <w:rFonts w:ascii="Times New Roman" w:hAnsi="Times New Roman" w:cs="Times New Roman"/>
          <w:bCs/>
        </w:rPr>
        <w:t>Тетис АралГаз</w:t>
      </w:r>
      <w:r w:rsidRPr="00496D7B">
        <w:rPr>
          <w:rFonts w:ascii="Times New Roman" w:hAnsi="Times New Roman" w:cs="Times New Roman"/>
        </w:rPr>
        <w:t xml:space="preserve">», БИН: </w:t>
      </w:r>
      <w:r w:rsidRPr="00496D7B">
        <w:rPr>
          <w:rFonts w:ascii="Times New Roman" w:hAnsi="Times New Roman" w:cs="Times New Roman"/>
          <w:bCs/>
          <w:lang w:val="kk-KZ"/>
        </w:rPr>
        <w:t>980140001102</w:t>
      </w:r>
      <w:r w:rsidRPr="00496D7B">
        <w:rPr>
          <w:rFonts w:ascii="Times New Roman" w:hAnsi="Times New Roman" w:cs="Times New Roman"/>
        </w:rPr>
        <w:t xml:space="preserve">, </w:t>
      </w:r>
      <w:r w:rsidRPr="00496D7B">
        <w:rPr>
          <w:rFonts w:ascii="Times New Roman" w:hAnsi="Times New Roman" w:cs="Times New Roman"/>
          <w:bCs/>
        </w:rPr>
        <w:t>г. г.Актобе, ул Бокенбай батыра 2, БЦ «Dastan Center», 2 этаж.</w:t>
      </w:r>
    </w:p>
    <w:p w14:paraId="6E9DFD8B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</w:rPr>
        <w:t>Краткое описание намечаемой деятельности</w:t>
      </w:r>
    </w:p>
    <w:p w14:paraId="32D8C7DF" w14:textId="77777777" w:rsidR="00804967" w:rsidRPr="00496D7B" w:rsidRDefault="00804967" w:rsidP="00496D7B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На контрактной территории ТОО </w:t>
      </w:r>
      <w:r w:rsidRPr="00496D7B">
        <w:rPr>
          <w:rFonts w:ascii="Times New Roman" w:eastAsia="SimSun" w:hAnsi="Times New Roman" w:cs="Times New Roman"/>
          <w:noProof/>
          <w:kern w:val="0"/>
          <w:lang w:eastAsia="zh-CN"/>
          <w14:ligatures w14:val="none"/>
        </w:rPr>
        <w:t xml:space="preserve">«Тетис АралГаз» </w:t>
      </w: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за период разведочных работ (2000–2022 гг.) открыты и находятся в промышленной разработке два газовых месторождения -  Кызылой и Аккулковское.</w:t>
      </w:r>
    </w:p>
    <w:p w14:paraId="41787A1F" w14:textId="77777777" w:rsidR="00804967" w:rsidRPr="00496D7B" w:rsidRDefault="00804967" w:rsidP="00496D7B">
      <w:pPr>
        <w:keepNext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Площадь геологического отвода, за исключением участков добычи месторождений Кызылой</w:t>
      </w:r>
      <w:r w:rsidRPr="00496D7B">
        <w:rPr>
          <w:rFonts w:ascii="Times New Roman" w:eastAsia="SimSu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и</w:t>
      </w:r>
      <w:r w:rsidRPr="00496D7B">
        <w:rPr>
          <w:rFonts w:ascii="Times New Roman" w:eastAsia="SimSu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Аккулковское, составляет 826,86 кв. км и подлежит возврату Государству.</w:t>
      </w:r>
    </w:p>
    <w:p w14:paraId="06FF0593" w14:textId="06BFB0A9" w:rsidR="00804967" w:rsidRPr="00496D7B" w:rsidRDefault="00804967" w:rsidP="00496D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496D7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В данном проекте планируется ликвидация </w:t>
      </w:r>
      <w:r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>Ликвидация 9 (девяти) скважин: АКК-07, АКД-02, АКД-03, АКД-11 (АКД-08), АКД-09, Г-5, Г-6, АКК-13, АКД-13. Консервация 5 (пяти) скважин АКД-01, АКД-04, АКД-05, АКД-06, АКД-07. Восстановление тумб и реперов с установкой табличек в 6 (шести) скважинах: П-1, П-2, Г-2, АКК-01, АКК-02, АКК-03.</w:t>
      </w:r>
      <w:r w:rsidR="00970DC5" w:rsidRPr="00496D7B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</w:t>
      </w:r>
      <w:r w:rsidRPr="00496D7B">
        <w:rPr>
          <w:rFonts w:ascii="Times New Roman" w:eastAsia="SimSun" w:hAnsi="Times New Roman" w:cs="Times New Roman"/>
          <w:bCs/>
          <w:kern w:val="0"/>
          <w:lang w:eastAsia="zh-CN"/>
          <w14:ligatures w14:val="none"/>
        </w:rPr>
        <w:t>Продолжительность ликвидации одной скважины не более 180 суток. Продолжительность работ по ликвидации консервации и рекультивация нарушенных земель – 1 год.</w:t>
      </w:r>
    </w:p>
    <w:p w14:paraId="0C634CAD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496D7B">
        <w:rPr>
          <w:rFonts w:ascii="Times New Roman" w:eastAsia="SimSun" w:hAnsi="Times New Roman" w:cs="Times New Roman"/>
          <w:b/>
          <w:bCs/>
          <w:lang w:eastAsia="zh-CN"/>
        </w:rPr>
        <w:t>Консервация объектов недропользования на участке недр</w:t>
      </w:r>
      <w:r w:rsidRPr="00496D7B">
        <w:rPr>
          <w:rFonts w:ascii="Times New Roman" w:eastAsia="SimSun" w:hAnsi="Times New Roman" w:cs="Times New Roman"/>
          <w:lang w:eastAsia="zh-CN"/>
        </w:rPr>
        <w:t xml:space="preserve"> – комплекс мероприятий, проводимых при временном прекращении операций по недропользованию на участке недр, на котором проводились работы по добыче урана, при проведении разведки и (или) добычи углеводородов, включая технологические комплексы (блоки) и единиц объектов недропользования (нефтяные и газовые скважины различного назначения, резервуары, трубопроводы, емкости, сепараторы и другие), а также вспомогательные сооружения (нефтяные амбары, шламонакопители и другие), с целью приведения участка недр в состояние, пригодное для его эксплуатации в будущем при возобновлении операций по недропользованию, а также сокращения вредного воздействия опасных производственных факторов и предупреждения чрезвычайных ситуаций. </w:t>
      </w:r>
    </w:p>
    <w:p w14:paraId="588148E9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  <w:r w:rsidRPr="00496D7B">
        <w:rPr>
          <w:rFonts w:ascii="Times New Roman" w:eastAsia="SimSun" w:hAnsi="Times New Roman" w:cs="Times New Roman"/>
          <w:lang w:eastAsia="zh-CN"/>
        </w:rPr>
        <w:t xml:space="preserve">В данном конкретном случае консервации подлежит часть участка недр, на котором расположено месторождение нефти и газа Аккулковское Южное, в соответствии с утвержденными запасами. </w:t>
      </w:r>
      <w:r w:rsidRPr="00496D7B">
        <w:rPr>
          <w:rFonts w:ascii="Times New Roman" w:eastAsia="SimSun" w:hAnsi="Times New Roman" w:cs="Times New Roman"/>
        </w:rPr>
        <w:t>(Протокол ГКЗ РК №2687-24-У от 26.07.2024 г).</w:t>
      </w:r>
    </w:p>
    <w:p w14:paraId="72D6F818" w14:textId="77777777" w:rsidR="00C24D6A" w:rsidRPr="00496D7B" w:rsidRDefault="00C24D6A" w:rsidP="00496D7B">
      <w:pPr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496D7B">
        <w:rPr>
          <w:rFonts w:ascii="Times New Roman" w:eastAsia="SimSun" w:hAnsi="Times New Roman" w:cs="Times New Roman"/>
          <w:b/>
          <w:bCs/>
          <w:lang w:eastAsia="zh-CN"/>
        </w:rPr>
        <w:t>Ликвидация объектов</w:t>
      </w:r>
      <w:r w:rsidRPr="00496D7B">
        <w:rPr>
          <w:rFonts w:ascii="Times New Roman" w:eastAsia="SimSun" w:hAnsi="Times New Roman" w:cs="Times New Roman"/>
          <w:lang w:eastAsia="zh-CN"/>
        </w:rPr>
        <w:t xml:space="preserve"> </w:t>
      </w:r>
      <w:r w:rsidRPr="00496D7B">
        <w:rPr>
          <w:rFonts w:ascii="Times New Roman" w:eastAsia="SimSun" w:hAnsi="Times New Roman" w:cs="Times New Roman"/>
          <w:b/>
          <w:bCs/>
          <w:lang w:eastAsia="zh-CN"/>
        </w:rPr>
        <w:t>недропользования на участке недр -</w:t>
      </w:r>
      <w:r w:rsidRPr="00496D7B">
        <w:rPr>
          <w:rFonts w:ascii="Times New Roman" w:eastAsia="SimSun" w:hAnsi="Times New Roman" w:cs="Times New Roman"/>
          <w:lang w:eastAsia="zh-CN"/>
        </w:rPr>
        <w:t xml:space="preserve"> включает в себя демонтаж, вывоз и захоронение (при необходимости) всех наземных сооружений (если они имелись), скважин разного вида и назначения, рекультивацию земель и сопровождаются значительными материальными и финансовыми затратами со стороны Недропользователя. </w:t>
      </w:r>
    </w:p>
    <w:p w14:paraId="6CA0323C" w14:textId="293B197B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x-none"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0C2FB704" w14:textId="77777777" w:rsidR="00804967" w:rsidRPr="00496D7B" w:rsidRDefault="00804967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Источниками выделения загрязняющих веществ при проведении работ по ликвидации последствий недропользования будут являться: планировочные работы, ДЭС, буровой агрегат, сварочные работы, автотранспортная техника.</w:t>
      </w:r>
    </w:p>
    <w:p w14:paraId="23369D10" w14:textId="77777777" w:rsidR="00804967" w:rsidRPr="00496D7B" w:rsidRDefault="00804967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Источникам</w:t>
      </w:r>
      <w:r w:rsidRPr="00496D7B">
        <w:rPr>
          <w:rFonts w:ascii="Times New Roman" w:eastAsia="Times New Roman" w:hAnsi="Times New Roman" w:cs="Times New Roman"/>
          <w:spacing w:val="-13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организованных</w:t>
      </w:r>
      <w:r w:rsidRPr="00496D7B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</w:t>
      </w:r>
      <w:r w:rsidRPr="00496D7B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присвоены</w:t>
      </w:r>
      <w:r w:rsidRPr="00496D7B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четырехзначные</w:t>
      </w:r>
      <w:r w:rsidRPr="00496D7B">
        <w:rPr>
          <w:rFonts w:ascii="Times New Roman" w:eastAsia="Times New Roman" w:hAnsi="Times New Roman" w:cs="Times New Roman"/>
          <w:spacing w:val="-9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номера,</w:t>
      </w:r>
      <w:r w:rsidRPr="00496D7B">
        <w:rPr>
          <w:rFonts w:ascii="Times New Roman" w:eastAsia="Times New Roman" w:hAnsi="Times New Roman" w:cs="Times New Roman"/>
          <w:spacing w:val="-1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начиная с</w:t>
      </w:r>
      <w:r w:rsidRPr="00496D7B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0001, неорганизованным</w:t>
      </w:r>
      <w:r w:rsidRPr="00496D7B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источникам</w:t>
      </w:r>
      <w:r w:rsidRPr="00496D7B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выбросов, начиная с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6001.</w:t>
      </w:r>
    </w:p>
    <w:p w14:paraId="01343ED7" w14:textId="77777777" w:rsidR="00804967" w:rsidRPr="00496D7B" w:rsidRDefault="00804967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</w:t>
      </w:r>
      <w:r w:rsidRPr="00496D7B">
        <w:rPr>
          <w:rFonts w:ascii="Times New Roman" w:eastAsia="Times New Roman" w:hAnsi="Times New Roman" w:cs="Times New Roman"/>
          <w:spacing w:val="29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источников</w:t>
      </w:r>
      <w:r w:rsidRPr="00496D7B">
        <w:rPr>
          <w:rFonts w:ascii="Times New Roman" w:eastAsia="Times New Roman" w:hAnsi="Times New Roman" w:cs="Times New Roman"/>
          <w:spacing w:val="28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</w:t>
      </w:r>
      <w:r w:rsidRPr="00496D7B">
        <w:rPr>
          <w:rFonts w:ascii="Times New Roman" w:eastAsia="Times New Roman" w:hAnsi="Times New Roman" w:cs="Times New Roman"/>
          <w:spacing w:val="28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вредных</w:t>
      </w:r>
      <w:r w:rsidRPr="00496D7B">
        <w:rPr>
          <w:rFonts w:ascii="Times New Roman" w:eastAsia="Times New Roman" w:hAnsi="Times New Roman" w:cs="Times New Roman"/>
          <w:spacing w:val="28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веществ</w:t>
      </w:r>
      <w:r w:rsidRPr="00496D7B">
        <w:rPr>
          <w:rFonts w:ascii="Times New Roman" w:eastAsia="Times New Roman" w:hAnsi="Times New Roman" w:cs="Times New Roman"/>
          <w:spacing w:val="29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r w:rsidRPr="00496D7B">
        <w:rPr>
          <w:rFonts w:ascii="Times New Roman" w:eastAsia="Times New Roman" w:hAnsi="Times New Roman" w:cs="Times New Roman"/>
          <w:spacing w:val="30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ликвидации последствий недропользования, составит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всего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</w:t>
      </w:r>
      <w:r w:rsidRPr="00496D7B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ед., организованных – 6 ед.,</w:t>
      </w:r>
      <w:r w:rsidRPr="00496D7B">
        <w:rPr>
          <w:rFonts w:ascii="Times New Roman" w:eastAsia="Times New Roman" w:hAnsi="Times New Roman" w:cs="Times New Roman"/>
          <w:spacing w:val="-4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неорганизованных</w:t>
      </w:r>
      <w:r w:rsidRPr="00496D7B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12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ед.</w:t>
      </w:r>
    </w:p>
    <w:p w14:paraId="2DBE6F11" w14:textId="45F859DA" w:rsidR="00804967" w:rsidRPr="00496D7B" w:rsidRDefault="00804967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Перечень</w:t>
      </w:r>
      <w:r w:rsidRPr="00496D7B">
        <w:rPr>
          <w:rFonts w:ascii="Times New Roman" w:eastAsia="Times New Roman" w:hAnsi="Times New Roman" w:cs="Times New Roman"/>
          <w:spacing w:val="5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основных</w:t>
      </w:r>
      <w:r w:rsidRPr="00496D7B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источников</w:t>
      </w:r>
      <w:r w:rsidRPr="00496D7B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выбросов</w:t>
      </w:r>
      <w:r w:rsidRPr="00496D7B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</w:t>
      </w:r>
      <w:r w:rsidRPr="00496D7B">
        <w:rPr>
          <w:rFonts w:ascii="Times New Roman" w:eastAsia="Times New Roman" w:hAnsi="Times New Roman" w:cs="Times New Roman"/>
          <w:spacing w:val="48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Pr="00496D7B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атмосферу</w:t>
      </w:r>
      <w:r w:rsidRPr="00496D7B">
        <w:rPr>
          <w:rFonts w:ascii="Times New Roman" w:eastAsia="Times New Roman" w:hAnsi="Times New Roman" w:cs="Times New Roman"/>
          <w:spacing w:val="50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r w:rsidRPr="00496D7B">
        <w:rPr>
          <w:rFonts w:ascii="Times New Roman" w:eastAsia="Times New Roman" w:hAnsi="Times New Roman" w:cs="Times New Roman"/>
          <w:spacing w:val="5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ликвидации и консервации одной скважины с проведением техниче</w:t>
      </w:r>
      <w:r w:rsidR="00906354"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кой рекультивации:</w:t>
      </w:r>
    </w:p>
    <w:p w14:paraId="7DB79C64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  <w:t>Источник №0</w:t>
      </w:r>
      <w:r w:rsidRPr="00496D7B">
        <w:rPr>
          <w:rFonts w:ascii="Times New Roman" w:eastAsia="Calibri" w:hAnsi="Times New Roman" w:cs="Times New Roman"/>
          <w:iCs/>
          <w:kern w:val="0"/>
          <w:u w:val="single"/>
          <w:lang w:val="kk-KZ"/>
          <w14:ligatures w14:val="none"/>
        </w:rPr>
        <w:t>00</w:t>
      </w:r>
      <w:r w:rsidRPr="00496D7B"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  <w:t xml:space="preserve">1. </w:t>
      </w:r>
      <w:r w:rsidRPr="00496D7B">
        <w:rPr>
          <w:rFonts w:ascii="Times New Roman" w:eastAsia="Calibri" w:hAnsi="Times New Roman" w:cs="Times New Roman"/>
          <w:iCs/>
          <w:kern w:val="0"/>
          <w:u w:val="single"/>
          <w:lang w:val="kk-KZ"/>
          <w14:ligatures w14:val="none"/>
        </w:rPr>
        <w:t>ДВС сварочного агрегата;</w:t>
      </w:r>
    </w:p>
    <w:p w14:paraId="07F79188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1"/>
          <w:kern w:val="0"/>
          <w:u w:val="single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№0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02</w:t>
      </w:r>
      <w:r w:rsidRPr="00496D7B">
        <w:rPr>
          <w:rFonts w:ascii="Times New Roman" w:eastAsia="Times New Roman" w:hAnsi="Times New Roman" w:cs="Times New Roman"/>
          <w:spacing w:val="-6"/>
          <w:kern w:val="0"/>
          <w:u w:val="single"/>
          <w:lang w:eastAsia="ru-RU"/>
          <w14:ligatures w14:val="none"/>
        </w:rPr>
        <w:t xml:space="preserve">. 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ДВС подъемного агрегата УПА-60/80</w:t>
      </w:r>
      <w:r w:rsidRPr="00496D7B">
        <w:rPr>
          <w:rFonts w:ascii="Times New Roman" w:eastAsia="Times New Roman" w:hAnsi="Times New Roman" w:cs="Times New Roman"/>
          <w:spacing w:val="-6"/>
          <w:kern w:val="0"/>
          <w:u w:val="single"/>
          <w:lang w:eastAsia="ru-RU"/>
          <w14:ligatures w14:val="none"/>
        </w:rPr>
        <w:t>;</w:t>
      </w:r>
    </w:p>
    <w:p w14:paraId="3F96C2C8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03. Цементировочный агрегат ЦА-320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М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;</w:t>
      </w:r>
    </w:p>
    <w:p w14:paraId="15BB4B39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04. Д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изельная электростанция АД-100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;</w:t>
      </w:r>
    </w:p>
    <w:p w14:paraId="4D419802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 xml:space="preserve">5. 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Дизельная электростанция, 220кВт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 xml:space="preserve">;     </w:t>
      </w:r>
    </w:p>
    <w:p w14:paraId="68715772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 №0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0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 xml:space="preserve">6. Передвижной компрессор;     </w:t>
      </w:r>
    </w:p>
    <w:p w14:paraId="5F349EA2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2"/>
          <w:kern w:val="0"/>
          <w:u w:val="single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№6001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-001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.</w:t>
      </w:r>
      <w:r w:rsidRPr="00496D7B">
        <w:rPr>
          <w:rFonts w:ascii="Times New Roman" w:eastAsia="Times New Roman" w:hAnsi="Times New Roman" w:cs="Times New Roman"/>
          <w:spacing w:val="-7"/>
          <w:kern w:val="0"/>
          <w:u w:val="single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Подготовка площадки. Бульдозер (щебень)</w:t>
      </w:r>
      <w:r w:rsidRPr="00496D7B">
        <w:rPr>
          <w:rFonts w:ascii="Times New Roman" w:eastAsia="Times New Roman" w:hAnsi="Times New Roman" w:cs="Times New Roman"/>
          <w:kern w:val="0"/>
          <w:u w:val="single"/>
          <w:lang w:val="kk-KZ" w:eastAsia="ru-RU"/>
          <w14:ligatures w14:val="none"/>
        </w:rPr>
        <w:t>;</w:t>
      </w:r>
    </w:p>
    <w:p w14:paraId="00B68E1D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Источник №6001-002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496D7B">
        <w:rPr>
          <w:rFonts w:ascii="Times New Roman" w:eastAsia="Times New Roman" w:hAnsi="Times New Roman" w:cs="Times New Roman"/>
          <w:spacing w:val="-7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площадки. Бульдозер (ПГС)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;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676992B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Источник №6001-003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496D7B">
        <w:rPr>
          <w:rFonts w:ascii="Times New Roman" w:eastAsia="Times New Roman" w:hAnsi="Times New Roman" w:cs="Times New Roman"/>
          <w:spacing w:val="-7"/>
          <w:kern w:val="0"/>
          <w:lang w:val="kk-KZ"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площадки. Бульдозер (Песок природный и из отсевов дробления)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;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</w:p>
    <w:p w14:paraId="3EDEEE06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№6002. Автосамосвал;</w:t>
      </w:r>
    </w:p>
    <w:p w14:paraId="095E34AC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№6003. Автосамосва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л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7E1771D0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№6004.</w:t>
      </w:r>
      <w:r w:rsidRPr="00496D7B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Экскаватор;</w:t>
      </w:r>
    </w:p>
    <w:p w14:paraId="647635C4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№6005.</w:t>
      </w:r>
      <w:r w:rsidRPr="00496D7B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Аппарат газовой резки;</w:t>
      </w:r>
    </w:p>
    <w:p w14:paraId="25F98E20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№6006. Сварочные работ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ы</w:t>
      </w:r>
    </w:p>
    <w:p w14:paraId="71CE2702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№6006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-001.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Газовая сварка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,</w:t>
      </w:r>
    </w:p>
    <w:p w14:paraId="0CBB5936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№6006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-001.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Сварочные работы;</w:t>
      </w:r>
    </w:p>
    <w:p w14:paraId="0A5A2C3C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</w:t>
      </w:r>
      <w:r w:rsidRPr="00496D7B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№6007. Шлифовальные машины</w:t>
      </w:r>
    </w:p>
    <w:p w14:paraId="405FB571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№6008. Лакокрасочные работы</w:t>
      </w:r>
    </w:p>
    <w:p w14:paraId="32C07A02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№6009-001. Пересыпка пылящих материалов (Песок)</w:t>
      </w:r>
    </w:p>
    <w:p w14:paraId="1D155CEB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№6009-002. Пересыпка пылящих материалов (Щебень)</w:t>
      </w:r>
    </w:p>
    <w:p w14:paraId="579A7411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Источник №6009-003. Пересыпка пылящих материалов (Цемент)</w:t>
      </w:r>
    </w:p>
    <w:p w14:paraId="5B63A211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Источник №6010. Емкость для диз.топлива с ТРК                                                                                                                                                                                                                          </w:t>
      </w:r>
    </w:p>
    <w:p w14:paraId="184D439D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Источник №6011. Емкость для моторного масла                                                                                                                                                                                                                               </w:t>
      </w:r>
    </w:p>
    <w:p w14:paraId="6727A4EA" w14:textId="77777777" w:rsidR="00804967" w:rsidRPr="00496D7B" w:rsidRDefault="00804967" w:rsidP="00496D7B">
      <w:pPr>
        <w:numPr>
          <w:ilvl w:val="0"/>
          <w:numId w:val="7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Источник №6012. Емкость для отработанного моторного масла                                                                                                                                                                                                                                 </w:t>
      </w:r>
    </w:p>
    <w:p w14:paraId="76EE9EC3" w14:textId="77777777" w:rsidR="00804967" w:rsidRPr="00496D7B" w:rsidRDefault="00804967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Загрязняющими атмосферный воздух веществами будут: азота оксид, углерод (сажа), азота диоксид, сера диоксид, сероводород, углерод оксид, пыль неорганическая.</w:t>
      </w:r>
    </w:p>
    <w:p w14:paraId="1806D510" w14:textId="77777777" w:rsidR="00804967" w:rsidRPr="00496D7B" w:rsidRDefault="00804967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Выполненные расчеты суммарных выбросов от стационарных источников </w:t>
      </w:r>
      <w:r w:rsidRPr="00496D7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при ликвидации скважин и наземных сооружений с проведением технической рекультивации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площади Аккуловская составляют –</w:t>
      </w:r>
      <w:r w:rsidRPr="00496D7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9,6458661г/с, 54,752289 т/г.</w:t>
      </w:r>
    </w:p>
    <w:p w14:paraId="7510EA7F" w14:textId="4D8DCAC9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250102B3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Виды отходов определяются на основании Классификатора отходов (Приказ и.о. Министра экологии, геологии и природных ресурсов Республики Казахстан от 6 августа 2021 года № 314).</w:t>
      </w:r>
    </w:p>
    <w:p w14:paraId="32D14A8B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Виды отходов относятся к опасным или неопасным в соответствии с классификатором отходов.</w:t>
      </w:r>
    </w:p>
    <w:p w14:paraId="6C6FE880" w14:textId="77777777" w:rsidR="00F96A39" w:rsidRPr="00496D7B" w:rsidRDefault="00F96A39" w:rsidP="00496D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отходы, образующиеся в процессе производственной деятельности, по мере накопления вывозятся для дальнейшей утилизации в соответствии с договором со специализированной организацией, имеющей лицензию на переработку, обезвреживание, утилизацию и (или) уничтожение опасных отходов, в соответствии с пунктом 1 статьи 336 Экологического кодекса Республики Казахстан.</w:t>
      </w:r>
    </w:p>
    <w:p w14:paraId="3D142D5E" w14:textId="4C79D7C0" w:rsidR="00CD0283" w:rsidRPr="00496D7B" w:rsidRDefault="00CD0283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 xml:space="preserve">Объем образования отходов на </w:t>
      </w:r>
      <w:r w:rsidR="00804967" w:rsidRPr="00496D7B">
        <w:rPr>
          <w:rFonts w:ascii="Times New Roman" w:hAnsi="Times New Roman" w:cs="Times New Roman"/>
        </w:rPr>
        <w:t>период консервации, ликвидации последствий недропользования</w:t>
      </w:r>
      <w:r w:rsidRPr="00496D7B">
        <w:rPr>
          <w:rFonts w:ascii="Times New Roman" w:hAnsi="Times New Roman" w:cs="Times New Roman"/>
        </w:rPr>
        <w:t xml:space="preserve"> всего составляет: </w:t>
      </w:r>
      <w:r w:rsidR="00804967" w:rsidRPr="00496D7B">
        <w:rPr>
          <w:rFonts w:ascii="Times New Roman" w:hAnsi="Times New Roman" w:cs="Times New Roman"/>
        </w:rPr>
        <w:t>5219,956</w:t>
      </w:r>
      <w:r w:rsidRPr="00496D7B">
        <w:rPr>
          <w:rFonts w:ascii="Times New Roman" w:hAnsi="Times New Roman" w:cs="Times New Roman"/>
        </w:rPr>
        <w:t xml:space="preserve"> т/г, в т.ч. отходов производства – </w:t>
      </w:r>
      <w:r w:rsidR="00804967" w:rsidRPr="00496D7B">
        <w:rPr>
          <w:rFonts w:ascii="Times New Roman" w:hAnsi="Times New Roman" w:cs="Times New Roman"/>
        </w:rPr>
        <w:t>5214,536</w:t>
      </w:r>
      <w:r w:rsidRPr="00496D7B">
        <w:rPr>
          <w:rFonts w:ascii="Times New Roman" w:hAnsi="Times New Roman" w:cs="Times New Roman"/>
        </w:rPr>
        <w:t xml:space="preserve"> т/г, отходов потребление – </w:t>
      </w:r>
      <w:r w:rsidR="00804967" w:rsidRPr="00496D7B">
        <w:rPr>
          <w:rFonts w:ascii="Times New Roman" w:hAnsi="Times New Roman" w:cs="Times New Roman"/>
        </w:rPr>
        <w:t>5,42</w:t>
      </w:r>
      <w:r w:rsidRPr="00496D7B">
        <w:rPr>
          <w:rFonts w:ascii="Times New Roman" w:hAnsi="Times New Roman" w:cs="Times New Roman"/>
        </w:rPr>
        <w:t xml:space="preserve"> т/г. </w:t>
      </w:r>
    </w:p>
    <w:p w14:paraId="4A1D332F" w14:textId="7BBBDCBC" w:rsidR="00CD0283" w:rsidRPr="00496D7B" w:rsidRDefault="00CD0283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Опасные отходы –</w:t>
      </w:r>
      <w:r w:rsidR="00804967" w:rsidRPr="00496D7B">
        <w:rPr>
          <w:rFonts w:ascii="Times New Roman" w:hAnsi="Times New Roman" w:cs="Times New Roman"/>
        </w:rPr>
        <w:t xml:space="preserve"> </w:t>
      </w:r>
      <w:r w:rsidRPr="00496D7B">
        <w:rPr>
          <w:rFonts w:ascii="Times New Roman" w:hAnsi="Times New Roman" w:cs="Times New Roman"/>
        </w:rPr>
        <w:t>отработанный буровой раствор – (01050</w:t>
      </w:r>
      <w:r w:rsidR="00804967" w:rsidRPr="00496D7B">
        <w:rPr>
          <w:rFonts w:ascii="Times New Roman" w:hAnsi="Times New Roman" w:cs="Times New Roman"/>
        </w:rPr>
        <w:t>6</w:t>
      </w:r>
      <w:r w:rsidRPr="00496D7B">
        <w:rPr>
          <w:rFonts w:ascii="Times New Roman" w:hAnsi="Times New Roman" w:cs="Times New Roman"/>
        </w:rPr>
        <w:t xml:space="preserve">*) – </w:t>
      </w:r>
      <w:r w:rsidR="00804967" w:rsidRPr="00496D7B">
        <w:rPr>
          <w:rFonts w:ascii="Times New Roman" w:hAnsi="Times New Roman" w:cs="Times New Roman"/>
        </w:rPr>
        <w:t>529,2</w:t>
      </w:r>
      <w:r w:rsidR="0083149D" w:rsidRPr="00496D7B">
        <w:rPr>
          <w:rFonts w:ascii="Times New Roman" w:hAnsi="Times New Roman" w:cs="Times New Roman"/>
        </w:rPr>
        <w:t xml:space="preserve"> </w:t>
      </w:r>
      <w:r w:rsidRPr="00496D7B">
        <w:rPr>
          <w:rFonts w:ascii="Times New Roman" w:hAnsi="Times New Roman" w:cs="Times New Roman"/>
        </w:rPr>
        <w:t>т/г, отработанная масла – (1</w:t>
      </w:r>
      <w:r w:rsidR="00804967" w:rsidRPr="00496D7B">
        <w:rPr>
          <w:rFonts w:ascii="Times New Roman" w:hAnsi="Times New Roman" w:cs="Times New Roman"/>
        </w:rPr>
        <w:t>3</w:t>
      </w:r>
      <w:r w:rsidRPr="00496D7B">
        <w:rPr>
          <w:rFonts w:ascii="Times New Roman" w:hAnsi="Times New Roman" w:cs="Times New Roman"/>
        </w:rPr>
        <w:t xml:space="preserve"> 0</w:t>
      </w:r>
      <w:r w:rsidR="00804967" w:rsidRPr="00496D7B">
        <w:rPr>
          <w:rFonts w:ascii="Times New Roman" w:hAnsi="Times New Roman" w:cs="Times New Roman"/>
        </w:rPr>
        <w:t>2</w:t>
      </w:r>
      <w:r w:rsidRPr="00496D7B">
        <w:rPr>
          <w:rFonts w:ascii="Times New Roman" w:hAnsi="Times New Roman" w:cs="Times New Roman"/>
        </w:rPr>
        <w:t xml:space="preserve"> 08*) – </w:t>
      </w:r>
      <w:r w:rsidR="00EC25D5" w:rsidRPr="00496D7B">
        <w:rPr>
          <w:rFonts w:ascii="Times New Roman" w:hAnsi="Times New Roman" w:cs="Times New Roman"/>
        </w:rPr>
        <w:t>3,</w:t>
      </w:r>
      <w:r w:rsidR="00804967" w:rsidRPr="00496D7B">
        <w:rPr>
          <w:rFonts w:ascii="Times New Roman" w:hAnsi="Times New Roman" w:cs="Times New Roman"/>
        </w:rPr>
        <w:t>31</w:t>
      </w:r>
      <w:r w:rsidRPr="00496D7B">
        <w:rPr>
          <w:rFonts w:ascii="Times New Roman" w:hAnsi="Times New Roman" w:cs="Times New Roman"/>
        </w:rPr>
        <w:t xml:space="preserve"> т/г, промасленная ветошь – (150202*) – </w:t>
      </w:r>
      <w:r w:rsidR="00804967" w:rsidRPr="00496D7B">
        <w:rPr>
          <w:rFonts w:ascii="Times New Roman" w:hAnsi="Times New Roman" w:cs="Times New Roman"/>
        </w:rPr>
        <w:t>0,127</w:t>
      </w:r>
      <w:r w:rsidRPr="00496D7B">
        <w:rPr>
          <w:rFonts w:ascii="Times New Roman" w:hAnsi="Times New Roman" w:cs="Times New Roman"/>
        </w:rPr>
        <w:t xml:space="preserve"> т/г, </w:t>
      </w:r>
      <w:r w:rsidR="00380EE3" w:rsidRPr="00496D7B">
        <w:rPr>
          <w:rFonts w:ascii="Times New Roman" w:hAnsi="Times New Roman" w:cs="Times New Roman"/>
        </w:rPr>
        <w:t xml:space="preserve">Нефтешлам -  (05 01 03*) – 23,038 т/г, жидкие производственные отходы -  (05 01 03*) – 336 т/г, </w:t>
      </w:r>
      <w:r w:rsidRPr="00496D7B">
        <w:rPr>
          <w:rFonts w:ascii="Times New Roman" w:hAnsi="Times New Roman" w:cs="Times New Roman"/>
        </w:rPr>
        <w:t xml:space="preserve">использованная тара (150110*) – </w:t>
      </w:r>
      <w:r w:rsidR="001C52DA" w:rsidRPr="00496D7B">
        <w:rPr>
          <w:rFonts w:ascii="Times New Roman" w:hAnsi="Times New Roman" w:cs="Times New Roman"/>
        </w:rPr>
        <w:t>1,</w:t>
      </w:r>
      <w:r w:rsidR="00380EE3" w:rsidRPr="00496D7B">
        <w:rPr>
          <w:rFonts w:ascii="Times New Roman" w:hAnsi="Times New Roman" w:cs="Times New Roman"/>
        </w:rPr>
        <w:t>925</w:t>
      </w:r>
      <w:r w:rsidRPr="00496D7B">
        <w:rPr>
          <w:rFonts w:ascii="Times New Roman" w:hAnsi="Times New Roman" w:cs="Times New Roman"/>
        </w:rPr>
        <w:t xml:space="preserve"> т/г</w:t>
      </w:r>
      <w:r w:rsidR="00380EE3" w:rsidRPr="00496D7B">
        <w:rPr>
          <w:rFonts w:ascii="Times New Roman" w:hAnsi="Times New Roman" w:cs="Times New Roman"/>
        </w:rPr>
        <w:t xml:space="preserve">, грунт и камни, содержащие опасные вещества (17 05 03*) – 51 т/г, </w:t>
      </w:r>
    </w:p>
    <w:p w14:paraId="08CA4575" w14:textId="6BED9F40" w:rsidR="00CD0283" w:rsidRPr="00496D7B" w:rsidRDefault="00CD0283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Не опасные отходы – металлолом – (1</w:t>
      </w:r>
      <w:r w:rsidR="00EC25D5" w:rsidRPr="00496D7B">
        <w:rPr>
          <w:rFonts w:ascii="Times New Roman" w:hAnsi="Times New Roman" w:cs="Times New Roman"/>
        </w:rPr>
        <w:t>70407</w:t>
      </w:r>
      <w:r w:rsidRPr="00496D7B">
        <w:rPr>
          <w:rFonts w:ascii="Times New Roman" w:hAnsi="Times New Roman" w:cs="Times New Roman"/>
        </w:rPr>
        <w:t xml:space="preserve">) – </w:t>
      </w:r>
      <w:r w:rsidR="00380EE3" w:rsidRPr="00496D7B">
        <w:rPr>
          <w:rFonts w:ascii="Times New Roman" w:hAnsi="Times New Roman" w:cs="Times New Roman"/>
        </w:rPr>
        <w:t>82,34</w:t>
      </w:r>
      <w:r w:rsidRPr="00496D7B">
        <w:rPr>
          <w:rFonts w:ascii="Times New Roman" w:hAnsi="Times New Roman" w:cs="Times New Roman"/>
        </w:rPr>
        <w:t xml:space="preserve"> т/г, огарки сварочных электродов – (120113) – 0,00</w:t>
      </w:r>
      <w:r w:rsidR="00380EE3" w:rsidRPr="00496D7B">
        <w:rPr>
          <w:rFonts w:ascii="Times New Roman" w:hAnsi="Times New Roman" w:cs="Times New Roman"/>
        </w:rPr>
        <w:t>6</w:t>
      </w:r>
      <w:r w:rsidRPr="00496D7B">
        <w:rPr>
          <w:rFonts w:ascii="Times New Roman" w:hAnsi="Times New Roman" w:cs="Times New Roman"/>
        </w:rPr>
        <w:t xml:space="preserve"> т/г, </w:t>
      </w:r>
      <w:r w:rsidR="00380EE3" w:rsidRPr="00496D7B">
        <w:rPr>
          <w:rFonts w:ascii="Times New Roman" w:hAnsi="Times New Roman" w:cs="Times New Roman"/>
        </w:rPr>
        <w:t>строительные отходы (остатки бетона, опалубки) (17 01 07) – 4187,59, коммунальные отходы (смешанные отходы и раздельно собранные отходы, которые по своему характеру и составу сходны с отходами домашних хозяйств) (20 03 01)</w:t>
      </w:r>
      <w:r w:rsidRPr="00496D7B">
        <w:rPr>
          <w:rFonts w:ascii="Times New Roman" w:hAnsi="Times New Roman" w:cs="Times New Roman"/>
        </w:rPr>
        <w:t xml:space="preserve">  –</w:t>
      </w:r>
      <w:r w:rsidR="000303C1" w:rsidRPr="00496D7B">
        <w:rPr>
          <w:rFonts w:ascii="Times New Roman" w:hAnsi="Times New Roman" w:cs="Times New Roman"/>
        </w:rPr>
        <w:t xml:space="preserve"> </w:t>
      </w:r>
      <w:r w:rsidR="00380EE3" w:rsidRPr="00496D7B">
        <w:rPr>
          <w:rFonts w:ascii="Times New Roman" w:hAnsi="Times New Roman" w:cs="Times New Roman"/>
        </w:rPr>
        <w:t>5,42</w:t>
      </w:r>
      <w:r w:rsidRPr="00496D7B">
        <w:rPr>
          <w:rFonts w:ascii="Times New Roman" w:hAnsi="Times New Roman" w:cs="Times New Roman"/>
        </w:rPr>
        <w:t xml:space="preserve">т/г. </w:t>
      </w:r>
    </w:p>
    <w:p w14:paraId="12A86DE6" w14:textId="37E5DFDF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Водопотребление и водоотведение</w:t>
      </w:r>
    </w:p>
    <w:p w14:paraId="54F4FDE6" w14:textId="77777777" w:rsidR="00F96A39" w:rsidRPr="00496D7B" w:rsidRDefault="00F96A39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Вода используется на питьевые и технологические нужды на период проведения работ. Требуется вода технического и питьевого качества. Источниками водоснабжения является привозная вода. Для питьевых нужд используется привозная бутилированная вода питьевого качества, поставляемая на договорной основе.</w:t>
      </w:r>
    </w:p>
    <w:p w14:paraId="55BD4EFF" w14:textId="77777777" w:rsidR="00F96A39" w:rsidRPr="00496D7B" w:rsidRDefault="00F96A39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хозяйственно-бытовых и производственных нужд используется привозная техническая вода, поставляемая на договорной основе автоцистернами. </w:t>
      </w:r>
    </w:p>
    <w:p w14:paraId="3B68641F" w14:textId="77777777" w:rsidR="00F96A39" w:rsidRPr="00496D7B" w:rsidRDefault="00F96A39" w:rsidP="00496D7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Хозяйственно-бытовые сточные воды на территории буровых площадок и вахтовых лагерей предусмотрены две системы временной канализации -хозяйственно-бытовая, производственная.</w:t>
      </w:r>
    </w:p>
    <w:p w14:paraId="2ED5D0A1" w14:textId="431B4E6A" w:rsidR="00F96A39" w:rsidRPr="00496D7B" w:rsidRDefault="00F96A39" w:rsidP="00496D7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Хозяйственно-бытовые стоки от модулей полевых лагерей по системе временных трубопроводов будут отводиться в септик (20 м3), изолированный от поверхностных и подземных вод. По мере наполнения септика стоки будут откачиваться, и вывозиться специализированными машинами - автоцистернами на специально оборудованные очистные сооружения, стоящие на балансе организаций, имеющих соответствующие разрешения на прием и утилизацию сточных вод, по договору с этими организациями. </w:t>
      </w:r>
    </w:p>
    <w:p w14:paraId="45D62E96" w14:textId="40B9C665" w:rsidR="00F96A39" w:rsidRPr="00496D7B" w:rsidRDefault="00906354" w:rsidP="00496D7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96D7B">
        <w:rPr>
          <w:rFonts w:ascii="Times New Roman" w:hAnsi="Times New Roman" w:cs="Times New Roman"/>
          <w:u w:val="single"/>
        </w:rPr>
        <w:t>Объем водопотребления и водоотведения при проведении работ по консервации и ликвидации объектов недропользования составит</w:t>
      </w:r>
      <w:r w:rsidR="00F96A39" w:rsidRPr="00496D7B">
        <w:rPr>
          <w:rFonts w:ascii="Times New Roman" w:eastAsia="Calibri" w:hAnsi="Times New Roman" w:cs="Times New Roman"/>
          <w:b/>
          <w:bCs/>
          <w:i/>
          <w:iCs/>
          <w:kern w:val="0"/>
          <w:u w:val="single"/>
          <w14:ligatures w14:val="none"/>
        </w:rPr>
        <w:t>:</w:t>
      </w:r>
      <w:r w:rsidR="00950A10" w:rsidRPr="00496D7B">
        <w:rPr>
          <w:rFonts w:ascii="Times New Roman" w:eastAsia="Calibri" w:hAnsi="Times New Roman" w:cs="Times New Roman"/>
          <w:b/>
          <w:bCs/>
          <w:i/>
          <w:iCs/>
          <w:kern w:val="0"/>
          <w:u w:val="single"/>
          <w14:ligatures w14:val="none"/>
        </w:rPr>
        <w:t xml:space="preserve"> </w:t>
      </w:r>
      <w:r w:rsidR="00F96A39" w:rsidRPr="00496D7B">
        <w:rPr>
          <w:rFonts w:ascii="Times New Roman" w:eastAsia="Calibri" w:hAnsi="Times New Roman" w:cs="Times New Roman"/>
          <w:kern w:val="0"/>
          <w14:ligatures w14:val="none"/>
        </w:rPr>
        <w:t xml:space="preserve">водопотребление – </w:t>
      </w:r>
      <w:r w:rsidR="00F96A39" w:rsidRPr="00496D7B">
        <w:rPr>
          <w:rFonts w:ascii="Times New Roman" w:eastAsia="Calibri" w:hAnsi="Times New Roman" w:cs="Times New Roman"/>
          <w:b/>
          <w:bCs/>
          <w:kern w:val="0"/>
          <w14:ligatures w14:val="none"/>
        </w:rPr>
        <w:t>1380,121</w:t>
      </w:r>
      <w:r w:rsidR="00F96A39" w:rsidRPr="00496D7B">
        <w:rPr>
          <w:rFonts w:ascii="Times New Roman" w:eastAsia="Calibri" w:hAnsi="Times New Roman" w:cs="Times New Roman"/>
          <w:kern w:val="0"/>
          <w14:ligatures w14:val="none"/>
        </w:rPr>
        <w:t xml:space="preserve"> м3,</w:t>
      </w:r>
      <w:r w:rsidR="00F96A39" w:rsidRPr="00496D7B">
        <w:rPr>
          <w:rFonts w:ascii="Times New Roman" w:eastAsia="Calibri" w:hAnsi="Times New Roman" w:cs="Times New Roman"/>
          <w:b/>
          <w:bCs/>
          <w:i/>
          <w:iCs/>
          <w:kern w:val="0"/>
          <w:u w:val="single"/>
          <w14:ligatures w14:val="none"/>
        </w:rPr>
        <w:t xml:space="preserve"> </w:t>
      </w:r>
      <w:r w:rsidR="00F96A39" w:rsidRPr="00496D7B">
        <w:rPr>
          <w:rFonts w:ascii="Times New Roman" w:eastAsia="Calibri" w:hAnsi="Times New Roman" w:cs="Times New Roman"/>
          <w:kern w:val="0"/>
          <w14:ligatures w14:val="none"/>
        </w:rPr>
        <w:t xml:space="preserve">водоотведение – </w:t>
      </w:r>
      <w:r w:rsidR="00F96A39" w:rsidRPr="00496D7B">
        <w:rPr>
          <w:rFonts w:ascii="Times New Roman" w:eastAsia="Calibri" w:hAnsi="Times New Roman" w:cs="Times New Roman"/>
          <w:b/>
          <w:bCs/>
          <w:kern w:val="0"/>
          <w14:ligatures w14:val="none"/>
        </w:rPr>
        <w:t>941,409</w:t>
      </w:r>
      <w:r w:rsidR="00F96A39" w:rsidRPr="00496D7B">
        <w:rPr>
          <w:rFonts w:ascii="Times New Roman" w:eastAsia="Calibri" w:hAnsi="Times New Roman" w:cs="Times New Roman"/>
          <w:kern w:val="0"/>
          <w14:ligatures w14:val="none"/>
        </w:rPr>
        <w:t xml:space="preserve"> м3. </w:t>
      </w:r>
    </w:p>
    <w:p w14:paraId="1F6828D4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79F321C2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Основными мерами предупреждения аварий является строгое исполнение технологической и производственной дисциплины, оперативный контроль, а также:</w:t>
      </w:r>
    </w:p>
    <w:p w14:paraId="49FF864F" w14:textId="77777777" w:rsidR="00BE1013" w:rsidRPr="00496D7B" w:rsidRDefault="00DA6F0F" w:rsidP="00496D7B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строгое выполнение проектных решений при проведении строительных работ;</w:t>
      </w:r>
    </w:p>
    <w:p w14:paraId="131E9D69" w14:textId="0D672B94" w:rsidR="00DA6F0F" w:rsidRPr="00496D7B" w:rsidRDefault="00DA6F0F" w:rsidP="00496D7B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обязательное соблюдение всех правил эксплуатации технологического</w:t>
      </w:r>
    </w:p>
    <w:p w14:paraId="188987E9" w14:textId="77777777" w:rsidR="00DA6F0F" w:rsidRPr="00496D7B" w:rsidRDefault="00DA6F0F" w:rsidP="00496D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оборудования при строительстве и эксплуатации объектов;</w:t>
      </w:r>
    </w:p>
    <w:p w14:paraId="6F2FA30C" w14:textId="77777777" w:rsidR="00DA6F0F" w:rsidRPr="00496D7B" w:rsidRDefault="00DA6F0F" w:rsidP="00496D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периодическое проведение инструктажей и занятий по технике безопасности;</w:t>
      </w:r>
    </w:p>
    <w:p w14:paraId="118F066A" w14:textId="77777777" w:rsidR="00DA6F0F" w:rsidRPr="00496D7B" w:rsidRDefault="00DA6F0F" w:rsidP="00496D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регулярное проведение учений по тревоге;</w:t>
      </w:r>
    </w:p>
    <w:p w14:paraId="36F5B825" w14:textId="77777777" w:rsidR="00DA6F0F" w:rsidRPr="00496D7B" w:rsidRDefault="00DA6F0F" w:rsidP="00496D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контроль за наличием спасательного и защитного оборудования и умением персонала им пользоваться;</w:t>
      </w:r>
    </w:p>
    <w:p w14:paraId="0BA640A8" w14:textId="77777777" w:rsidR="00DA6F0F" w:rsidRPr="00496D7B" w:rsidRDefault="00DA6F0F" w:rsidP="00496D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своевременное устранение утечки во время работы механизмов;</w:t>
      </w:r>
    </w:p>
    <w:p w14:paraId="040B1F03" w14:textId="77777777" w:rsidR="00DA6F0F" w:rsidRPr="00496D7B" w:rsidRDefault="00DA6F0F" w:rsidP="00496D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x-none"/>
        </w:rPr>
      </w:pPr>
      <w:r w:rsidRPr="00496D7B">
        <w:rPr>
          <w:rFonts w:ascii="Times New Roman" w:hAnsi="Times New Roman" w:cs="Times New Roman"/>
          <w:bCs/>
          <w:lang w:val="x-none"/>
        </w:rPr>
        <w:t>использование контейнеров для сбора отходов производства и потребления.</w:t>
      </w:r>
    </w:p>
    <w:p w14:paraId="39B16F7C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В случае фиксирования аварийных ситуаций, связанных с загрязнением окружающей среды, руководство предприятия должно проинформировать о данных фактах областной Департамент экологии, принять меры по ликвидации последствий после аварий, определить размер ущерба, причиненного компонентам окружающей среды, осуществить соответствующие платежи в фонд охраны природы. Своевременная ликвидация аварий уменьшает степень отрицательного воздействия на окружающую природную среду.</w:t>
      </w:r>
    </w:p>
    <w:p w14:paraId="670EC721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 xml:space="preserve">После устранения аварийной ситуации на предприятии должны быть откорректированы мероприятия по предупреждению подобных ситуаций. </w:t>
      </w:r>
    </w:p>
    <w:p w14:paraId="3CFA2A16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 xml:space="preserve">План детализации мониторинга должен быть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 </w:t>
      </w:r>
    </w:p>
    <w:p w14:paraId="642D5373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После ликвидации аварийной ситуации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цикла реабилитации территории, в том числе в течение двух лет после её завершения.</w:t>
      </w:r>
    </w:p>
    <w:p w14:paraId="39E74B3A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</w:rPr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793DD1D9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53A8739B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 xml:space="preserve">При обнаружении аварийных выбросов загрязняющих веществ в окружающую среду, т.е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</w:t>
      </w:r>
      <w:r w:rsidRPr="00496D7B">
        <w:rPr>
          <w:rFonts w:ascii="Times New Roman" w:hAnsi="Times New Roman" w:cs="Times New Roman"/>
        </w:rPr>
        <w:lastRenderedPageBreak/>
        <w:t>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2EC46AA5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3C1209" w14:textId="0CB3D7FC" w:rsidR="00DA6F0F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***</w:t>
      </w:r>
    </w:p>
    <w:p w14:paraId="4153EAF3" w14:textId="6A719FCF" w:rsidR="00496D7B" w:rsidRPr="00496D7B" w:rsidRDefault="00496D7B" w:rsidP="00496D7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6D7B">
        <w:rPr>
          <w:rFonts w:ascii="Times New Roman" w:hAnsi="Times New Roman" w:cs="Times New Roman"/>
          <w:b/>
          <w:bCs/>
        </w:rPr>
        <w:t>Раздел «Охрана окружающей среды» к «Проекту рекультивации земельных участков, нарушенных ТОО «Тетисаралгаз» при эксплуатации разведочных скважин №АКД-01, №АКД-02, №АКД-03, №АКД-04, №АКД-05, №АКД-06, №АКД-07, №АКД-08, №АКД-09, №АКД-33, №Г-6 с подъездными дорогами на Аккулковской нефтегазоносной площади в шалкарском районе Актюбинской области»</w:t>
      </w:r>
    </w:p>
    <w:p w14:paraId="2285699F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Месторождение «Аккулка» расположены в административной границе Шалкарского 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и Байганинского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район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ов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Актюбинской области. 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 </w:t>
      </w:r>
    </w:p>
    <w:p w14:paraId="7331C2B7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Ближайшим населенным пунктом к 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рекультивируемым участкам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месторождению "Аккулка" </w:t>
      </w:r>
      <w:r w:rsidRPr="00496D7B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 xml:space="preserve">в границе Шалкарского района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является село Бозой расположенное в северо-восточном направлении от участка №2 на расстоянии 38 км.</w:t>
      </w:r>
    </w:p>
    <w:p w14:paraId="5707CB08" w14:textId="77777777" w:rsidR="00496D7B" w:rsidRPr="00496D7B" w:rsidRDefault="00496D7B" w:rsidP="00496D7B">
      <w:pPr>
        <w:pStyle w:val="isselectedend"/>
        <w:spacing w:before="0" w:beforeAutospacing="0" w:after="0" w:afterAutospacing="0"/>
        <w:jc w:val="both"/>
        <w:rPr>
          <w:sz w:val="22"/>
          <w:szCs w:val="22"/>
        </w:rPr>
      </w:pPr>
      <w:r w:rsidRPr="00496D7B">
        <w:rPr>
          <w:sz w:val="22"/>
          <w:szCs w:val="22"/>
        </w:rPr>
        <w:t>Район размещения объекта относится к IVГ климатическому району. Климатические условия территории характеризуются следующими параметрами: абсолютная минимальная температура воздуха составляет минус 45 °С, абсолютная максимальная температура воздуха — плюс 43 °С. Нормативный скоростной напор ветра соответствует II ветровому району и составляет 30 кгс/м². Продолжительность периода с устойчивым снежным покровом составляет 107 дней, нормативная глубина промерзания грунтов — 150 см.</w:t>
      </w:r>
    </w:p>
    <w:p w14:paraId="6104E91E" w14:textId="77777777" w:rsidR="00496D7B" w:rsidRPr="00496D7B" w:rsidRDefault="00496D7B" w:rsidP="00496D7B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496D7B">
        <w:rPr>
          <w:sz w:val="22"/>
          <w:szCs w:val="22"/>
        </w:rPr>
        <w:t>Ближайшим поверхностным водным объектом к рассматриваемому участку является Аральское море, расположенное в восточном направлении от участка №10 на расстоянии около 22 км.</w:t>
      </w:r>
    </w:p>
    <w:p w14:paraId="2757ADFB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</w:rPr>
        <w:t>Сведения об инициаторе намечаемой деятельности, его контактные данные</w:t>
      </w:r>
    </w:p>
    <w:p w14:paraId="69BA3DD0" w14:textId="53CB04B1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96D7B">
        <w:rPr>
          <w:rFonts w:ascii="Times New Roman" w:hAnsi="Times New Roman" w:cs="Times New Roman"/>
        </w:rPr>
        <w:t>Инициатор намечаемой деятельности: ТОО «</w:t>
      </w:r>
      <w:r w:rsidRPr="00496D7B">
        <w:rPr>
          <w:rFonts w:ascii="Times New Roman" w:hAnsi="Times New Roman" w:cs="Times New Roman"/>
          <w:bCs/>
        </w:rPr>
        <w:t>Тетис АралГаз</w:t>
      </w:r>
      <w:r w:rsidRPr="00496D7B">
        <w:rPr>
          <w:rFonts w:ascii="Times New Roman" w:hAnsi="Times New Roman" w:cs="Times New Roman"/>
        </w:rPr>
        <w:t xml:space="preserve">», БИН: </w:t>
      </w:r>
      <w:r w:rsidRPr="00496D7B">
        <w:rPr>
          <w:rFonts w:ascii="Times New Roman" w:hAnsi="Times New Roman" w:cs="Times New Roman"/>
          <w:bCs/>
          <w:lang w:val="kk-KZ"/>
        </w:rPr>
        <w:t>980140001102</w:t>
      </w:r>
      <w:r w:rsidRPr="00496D7B">
        <w:rPr>
          <w:rFonts w:ascii="Times New Roman" w:hAnsi="Times New Roman" w:cs="Times New Roman"/>
        </w:rPr>
        <w:t xml:space="preserve">, </w:t>
      </w:r>
      <w:r w:rsidRPr="00496D7B">
        <w:rPr>
          <w:rFonts w:ascii="Times New Roman" w:hAnsi="Times New Roman" w:cs="Times New Roman"/>
          <w:bCs/>
        </w:rPr>
        <w:t>г. г.Актобе, ул Бокенбай батыра 2, БЦ «Dastan Center», 2 этаж.</w:t>
      </w:r>
    </w:p>
    <w:p w14:paraId="0BD54C28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</w:rPr>
        <w:t>Краткое описание намечаемой деятельности</w:t>
      </w:r>
    </w:p>
    <w:p w14:paraId="10D75A73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Технический этап рекультивации.</w:t>
      </w:r>
    </w:p>
    <w:p w14:paraId="30B59EEE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процессе бурении газовых скважин произойдут нарушения почвенного покрова земельных участков. Вскрытие земельных участков произойдет по объектам до глубины 0,8 - </w:t>
      </w:r>
      <w:smartTag w:uri="urn:schemas-microsoft-com:office:smarttags" w:element="metricconverter">
        <w:smartTagPr>
          <w:attr w:name="ProductID" w:val="1,2 м"/>
        </w:smartTagPr>
        <w:r w:rsidRPr="00496D7B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1,2 м</w:t>
        </w:r>
      </w:smartTag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поверхности земли.</w:t>
      </w:r>
    </w:p>
    <w:p w14:paraId="429EF04B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площадках земельных участков будет размещена буровой станок с приборами учета.</w:t>
      </w:r>
    </w:p>
    <w:p w14:paraId="6675534C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Нарушаемые земельные участки ранее использовались как пастбищные угодья.</w:t>
      </w:r>
    </w:p>
    <w:p w14:paraId="3E097396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Рабочим проектом предусматривается технический этап рекультивации нарушаемых земель, который включает комплекс работ, направленных на восстановление продуктивности и ценности нарушаемых земель. Нарушаемые земли рекультивируются для сельскохозяйственного использования. На основании отчета по инженерным изысканиям комплекса «Рабочий проект обустройства на Аккулковской нефтегазоносной площади в Актюбинской области» выполненного научно-производственным центром «Геокен» г. Алматы 2006 год мощность почвенно-растительного слоя составляет 0,2 м.</w:t>
      </w:r>
    </w:p>
    <w:p w14:paraId="0BA40754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Срезка почвенно-растительного слоя проводится бульдозером со складированием его в отвалы для дальнейшего хранения.</w:t>
      </w:r>
    </w:p>
    <w:p w14:paraId="2EB9E015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завершении работ при эксплуатации разведочных скважин №АКД-01, №АКД-02, №АКД-03, №АКД-04, №АКД-05, №АКД-06, №АКД-07, №АКД-08, №АКД-09, №АКК-33, №Г-6 с подъездными дорогами на Аккулковской нефтегазоносной площади проводится демонтаж буровой установки и транспортировка запасных материалов, демонтаж оборудования.</w:t>
      </w:r>
    </w:p>
    <w:p w14:paraId="2BD652CE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Засыпка площадок проводится бульдозером. Затем проводится рыхление поверхности земельных участков бульдозером-рыхлителем глубиной рыхления до 0,35 м. Это мера способствует лучшему соединению нанесенной почвы с подстилающей породой, а также облегчает проникновение корней в почвенный слой. Нанесение почвенно-растительного слоя (возврат) проводится в теплое время года. Окончательная планировка земельных участков проводится бульдозером, прикатывание поверхности земельных участков проводится прицепными катками.</w:t>
      </w:r>
    </w:p>
    <w:p w14:paraId="5833861F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Биологический этап рекультивации.</w:t>
      </w:r>
    </w:p>
    <w:p w14:paraId="4BAD3292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Биологический этап начинается после окончания технического этапа и проводится с целью создания на подготовленной, в ходе проведения технического этапа, поверхности корнеобитаемого слоя, предотвращающего ветровую и водную эрозию почв, снос мелкозема с восстановленной поверхности. Выполнение биологического этапа рекультивации позволяет снизить выбросы пыли в атмосферу и улучшить микроклимат района. Закрепление пылящих поверхностей является одной из важных составных частей природоохранных мероприятий.</w:t>
      </w:r>
    </w:p>
    <w:p w14:paraId="4E79E6AD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Проектом предусматривается проведения биологического этапа рекультивации нарушаемых земель на площади 43,4059 га, при эксплуатации разведочных скважин №АКД-01, №АКД-02, №АКД-03, №АКД-04, №АКД-05, №АКД-06, №АКД-07, №АКД-08, №АКД-09, №АКК-33, №Г-6 с подъездными дорогами на </w:t>
      </w: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Аккулковской нефтегазоносной площади, с перспективным использованием всей рекультивируемой площади под пастбища.</w:t>
      </w:r>
    </w:p>
    <w:p w14:paraId="35935A4F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Восстановление пастбищных угодий. Основной задачей биологического этапа рекультивации является восстановление плодородия нарушенных земель, создание растительного покрова. Биологический этап рекультивации включает в себя комплекс работ, направленных на создание пастбищной угодий на нарушенных землях.</w:t>
      </w:r>
    </w:p>
    <w:p w14:paraId="70FC4BE8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Технические и инженерные решения</w:t>
      </w:r>
    </w:p>
    <w:p w14:paraId="19F900DD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Освободившиеся участки после завершения работ в соответствии со статьей 140 земельного кодекса необходимо восстанавливать (рекультивировать) и вовлекать в хозяйственный оборот.</w:t>
      </w:r>
    </w:p>
    <w:p w14:paraId="00A2E240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Целью разработки рабочего проекта рекультивации земель является определение основных решений, обеспечивающих наиболее эффективное использование рекультивированных участков: установление объемов, технологии и очередности производства работ, определение сметной стоимости рекультивации.</w:t>
      </w:r>
    </w:p>
    <w:p w14:paraId="03CE5B10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конкретном случае определяется этапы рекультивации земель, нарушенных при бурении с учетом следующих основных факторов: природных и социальных условий, ценности земли, перспектив развития и географического расположения района разработки месторождения.</w:t>
      </w:r>
    </w:p>
    <w:p w14:paraId="6A89A483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x-none"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3D792738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2026 год, с учетом передвижных источников, составляет –0,451442 г/с, 5.998943694 т/г (2026г).</w:t>
      </w:r>
    </w:p>
    <w:p w14:paraId="6BE2679B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Ориентировочные суммарные выбросы на период биологической рекультивации на 2026 год от стационарных и передвижных источников, составляет – 0.355432 г/с, 3.521243694 т/г (2026г). </w:t>
      </w:r>
    </w:p>
    <w:p w14:paraId="67ADA476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2027 год, с учетом передвижных источников – 0.355432 г/с, 2.677180494 т/г (2027г).</w:t>
      </w:r>
    </w:p>
    <w:p w14:paraId="0B8B2627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2027 год от стационарных и передвижных источников, составляет – 0.255382 г/с, 0.228180494 т/г (2027г).</w:t>
      </w:r>
    </w:p>
    <w:p w14:paraId="74434D21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2028 год, с учетом передвижных источников, составляет – 0.271382 г/с, 0.416862214 т/г (2028г).</w:t>
      </w:r>
    </w:p>
    <w:p w14:paraId="54F2D636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2028 год от стационарных и передвижных источников, составляет –0.271382 г/с, 0.416862214 т/г (2028г).</w:t>
      </w:r>
    </w:p>
    <w:p w14:paraId="0310ACC3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2028 год от стационарных и передвижных источников, составляет – 0.255382 г/с,</w:t>
      </w:r>
      <w:r w:rsidRPr="00496D7B">
        <w:rPr>
          <w:rFonts w:ascii="Times New Roman" w:hAnsi="Times New Roman" w:cs="Times New Roman"/>
        </w:rPr>
        <w:t xml:space="preserve"> </w:t>
      </w: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0.125162214 т/г (2028г).</w:t>
      </w:r>
    </w:p>
    <w:p w14:paraId="31C071D5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биологической рекультивации на 2029(2030,2031) год, с учетом передвижных источников, составляет – 0.271382 г/с, 0.603605994 т/г (2029г).</w:t>
      </w:r>
    </w:p>
    <w:p w14:paraId="3EDBCCAD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496D7B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Ориентировочные суммарные выбросы на период рекультивации на 2029(2030,2031) гг, от стационарных и передвижных источников, составляет – 0.255382 г/с, 0.166105994 т/г (2029г).</w:t>
      </w:r>
    </w:p>
    <w:p w14:paraId="0D7FCF3C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7B3DE41F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Образование, временное хранение отходов, планируемых в процессе проведения рекультивационных работ, являются источниками воздействия на компоненты окружающей среды.</w:t>
      </w:r>
    </w:p>
    <w:p w14:paraId="1065635D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проведении рекультивационных работ должен проводиться строгий учет и постоянный контроль за технологическими процессами, где образуются различные отходы, до их утилизации или захоронения. </w:t>
      </w:r>
    </w:p>
    <w:p w14:paraId="1CA1A20E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проведении рекультивационных работ нарушаемых земель не образуются производственные отходы.</w:t>
      </w:r>
    </w:p>
    <w:p w14:paraId="7FD2C08F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Проведения рекультивационных работ будет связана с образованием твердых бытовых отходов (отходы потребления). В соответствии с Классификатором отходов, приказ и.о. Министра экологии, геологии и природных ресурсов РК от 6 августа 2021 года №314, относится к неопасным отходам.</w:t>
      </w:r>
    </w:p>
    <w:p w14:paraId="5332271C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проведении рекультивационных работ, необходимо обеспечение нормального санитарного содержания территории в условиях эксплуатации без ущерба для окружающей среды, особую актуальность при этом приобретают вопросы сбора и временного складирования, а в дальнейшем утилизации отходов потребления. </w:t>
      </w:r>
    </w:p>
    <w:p w14:paraId="46132C12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Объем образования отходов при технической рекультивации, составляет.: 86,8975 т/г.</w:t>
      </w:r>
    </w:p>
    <w:p w14:paraId="688E92A4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Не опасные отходы – 2026 год - смешанные коммунальные отходы – (20 03 01) – 0,0875 т/г, смеси бетона, кирпича, черепицы и керамики, за исключением упомянутых в (17 01 06), (17 01 07) – 86,81 т/г.</w:t>
      </w:r>
    </w:p>
    <w:p w14:paraId="409C9131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Не опасные отходы – 2027-2031гг - смешанные коммунальные отходы – (20 03 01) – 0,0313 т/г.</w:t>
      </w:r>
    </w:p>
    <w:p w14:paraId="517AE90E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x-none"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Водопотребление и водоотведение</w:t>
      </w:r>
    </w:p>
    <w:p w14:paraId="734B9945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ArialMT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ArialMT" w:hAnsi="Times New Roman" w:cs="Times New Roman"/>
          <w:kern w:val="0"/>
          <w:lang w:eastAsia="ru-RU"/>
          <w14:ligatures w14:val="none"/>
        </w:rPr>
        <w:t xml:space="preserve">Вода для производственных нужд на период технической рекультиваций используется привозная из ближайших водоисточников, по договору с поставщиком имеющий разрешение на спец водопользование. Вода для производственных нужд не используется из поверхностных и подземных водных объектов. А </w:t>
      </w:r>
      <w:r w:rsidRPr="00496D7B">
        <w:rPr>
          <w:rFonts w:ascii="Times New Roman" w:eastAsia="ArialMT" w:hAnsi="Times New Roman" w:cs="Times New Roman"/>
          <w:kern w:val="0"/>
          <w:lang w:eastAsia="ru-RU"/>
          <w14:ligatures w14:val="none"/>
        </w:rPr>
        <w:lastRenderedPageBreak/>
        <w:t>также отсутствует получение воды из рыбохозяйственных водоемов в качестве специального водопользователя.</w:t>
      </w:r>
    </w:p>
    <w:p w14:paraId="3643EE71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96D7B">
        <w:rPr>
          <w:rFonts w:ascii="Times New Roman" w:eastAsia="ArialMT" w:hAnsi="Times New Roman" w:cs="Times New Roman"/>
          <w:kern w:val="0"/>
          <w:lang w:eastAsia="ru-RU"/>
          <w14:ligatures w14:val="none"/>
        </w:rPr>
        <w:t>Питьевая вода для рабочих привозная бутилированная.</w:t>
      </w:r>
      <w:r w:rsidRPr="00496D7B">
        <w:rPr>
          <w:rFonts w:ascii="Times New Roman" w:hAnsi="Times New Roman" w:cs="Times New Roman"/>
          <w:lang w:val="kk-KZ"/>
        </w:rPr>
        <w:t xml:space="preserve"> Все образующиеся сточные воды будут собираться в емкость, и сдаваться сторонним организациям, на договорной основе, по результатам проведенного тендера.</w:t>
      </w:r>
    </w:p>
    <w:p w14:paraId="671F40FC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  <w:u w:val="single"/>
        </w:rPr>
        <w:t>Баланс водоотведения и водопотребления в период технического этапа составляет:</w:t>
      </w:r>
      <w:r w:rsidRPr="00496D7B">
        <w:rPr>
          <w:rFonts w:ascii="Times New Roman" w:hAnsi="Times New Roman" w:cs="Times New Roman"/>
        </w:rPr>
        <w:t xml:space="preserve"> водопотребление –2220,7 м</w:t>
      </w:r>
      <w:r w:rsidRPr="00496D7B">
        <w:rPr>
          <w:rFonts w:ascii="Times New Roman" w:hAnsi="Times New Roman" w:cs="Times New Roman"/>
          <w:vertAlign w:val="superscript"/>
        </w:rPr>
        <w:t>3</w:t>
      </w:r>
      <w:r w:rsidRPr="00496D7B">
        <w:rPr>
          <w:rFonts w:ascii="Times New Roman" w:hAnsi="Times New Roman" w:cs="Times New Roman"/>
        </w:rPr>
        <w:t>, водоотведение – 50,4 м</w:t>
      </w:r>
      <w:r w:rsidRPr="00496D7B">
        <w:rPr>
          <w:rFonts w:ascii="Times New Roman" w:hAnsi="Times New Roman" w:cs="Times New Roman"/>
          <w:vertAlign w:val="superscript"/>
        </w:rPr>
        <w:t>3</w:t>
      </w:r>
      <w:r w:rsidRPr="00496D7B">
        <w:rPr>
          <w:rFonts w:ascii="Times New Roman" w:hAnsi="Times New Roman" w:cs="Times New Roman"/>
        </w:rPr>
        <w:t>.</w:t>
      </w:r>
    </w:p>
    <w:p w14:paraId="350CFEE1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Баланс водоотведения и водопотребления в период биологического этапа составляет: водопотребление –18,0 м3, водоотведение –18,0 м3.</w:t>
      </w:r>
    </w:p>
    <w:p w14:paraId="4E9AD6D4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25305BBC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результате проведения рекультивационных работ нарушенные земли и окружающие их территории должны представлять оптимально организованные и устойчивые природно-техногенные комплексы. С этой целью для каждой рассматриваемой территории необходимо определить оптимальное сочетание направлений рекультивации, как отдельных объектов, так и элементов.</w:t>
      </w:r>
    </w:p>
    <w:p w14:paraId="4B3BF12C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данном проекте для достижения целей намечены следующие мероприятия:</w:t>
      </w:r>
    </w:p>
    <w:p w14:paraId="559FEF76" w14:textId="77777777" w:rsidR="00496D7B" w:rsidRPr="00496D7B" w:rsidRDefault="00496D7B" w:rsidP="00496D7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Своевременное проведение рекультивационных работ;</w:t>
      </w:r>
    </w:p>
    <w:p w14:paraId="73B270D5" w14:textId="77777777" w:rsidR="00496D7B" w:rsidRPr="00496D7B" w:rsidRDefault="00496D7B" w:rsidP="00496D7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Снижение отрицательного воздействия нарушенных земель на растительный и животный мир с направлением на устранение экологического ущерба.</w:t>
      </w:r>
    </w:p>
    <w:p w14:paraId="1F9F9BF5" w14:textId="77777777" w:rsidR="00496D7B" w:rsidRPr="00496D7B" w:rsidRDefault="00496D7B" w:rsidP="00496D7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планировании рекультивационных работ Аккулковской нефтегазоносной площади выделены следующие критерии:</w:t>
      </w:r>
    </w:p>
    <w:p w14:paraId="492ED427" w14:textId="77777777" w:rsidR="00496D7B" w:rsidRPr="00496D7B" w:rsidRDefault="00496D7B" w:rsidP="00496D7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Приведение нарушенного участка в состояние, безопасное для населения и животного мира;</w:t>
      </w:r>
    </w:p>
    <w:p w14:paraId="248DC751" w14:textId="77777777" w:rsidR="00496D7B" w:rsidRPr="00496D7B" w:rsidRDefault="00496D7B" w:rsidP="00496D7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Приведение земель в состояние, пригодное для восстановления почвенно-растительного покрова для восстановления продуктивности и хозяйственной ценности земель, а также для своевременного вовлечение земель в хозяйственное использование;</w:t>
      </w:r>
    </w:p>
    <w:p w14:paraId="6E243E86" w14:textId="77777777" w:rsidR="00496D7B" w:rsidRPr="00496D7B" w:rsidRDefault="00496D7B" w:rsidP="00496D7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Улучшение микроклимата на восстановленной территории;</w:t>
      </w:r>
    </w:p>
    <w:p w14:paraId="7F7F7B2F" w14:textId="77777777" w:rsidR="00496D7B" w:rsidRPr="00496D7B" w:rsidRDefault="00496D7B" w:rsidP="00496D7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96D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Нейтрализация отрицательного воздействия нарушенной территории на окружающую среду и здоровье человека.</w:t>
      </w:r>
    </w:p>
    <w:p w14:paraId="58A5B87A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496D7B">
        <w:rPr>
          <w:rFonts w:ascii="Times New Roman" w:hAnsi="Times New Roman" w:cs="Times New Roman"/>
          <w:b/>
          <w:bCs/>
          <w:i/>
          <w:iCs/>
        </w:rPr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68A30AA4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51DC2C1D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6D7B">
        <w:rPr>
          <w:rFonts w:ascii="Times New Roman" w:hAnsi="Times New Roman" w:cs="Times New Roman"/>
        </w:rPr>
        <w:t>При обнаружении аварийных выбросов загрязняющих веществ в окружающую среду, т.е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06953C04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2C1303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F7A576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9374C2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F32EF6" w14:textId="77777777" w:rsidR="00DA6F0F" w:rsidRPr="00496D7B" w:rsidRDefault="00DA6F0F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F86B9" w14:textId="77777777" w:rsidR="004E6CB8" w:rsidRPr="00496D7B" w:rsidRDefault="004E6CB8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3AB8BB" w14:textId="77777777" w:rsidR="00496D7B" w:rsidRPr="00496D7B" w:rsidRDefault="00496D7B" w:rsidP="00496D7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96D7B" w:rsidRPr="00496D7B" w:rsidSect="00496D7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imSun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C21"/>
    <w:multiLevelType w:val="hybridMultilevel"/>
    <w:tmpl w:val="B6F435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791"/>
    <w:multiLevelType w:val="hybridMultilevel"/>
    <w:tmpl w:val="F488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15A"/>
    <w:multiLevelType w:val="hybridMultilevel"/>
    <w:tmpl w:val="8B106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5A99"/>
    <w:multiLevelType w:val="multilevel"/>
    <w:tmpl w:val="067661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4" w15:restartNumberingAfterBreak="0">
    <w:nsid w:val="4B23489F"/>
    <w:multiLevelType w:val="hybridMultilevel"/>
    <w:tmpl w:val="87FA2438"/>
    <w:lvl w:ilvl="0" w:tplc="F7B45D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B9256D3"/>
    <w:multiLevelType w:val="hybridMultilevel"/>
    <w:tmpl w:val="355691CE"/>
    <w:styleLink w:val="1ai72121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057CD"/>
    <w:multiLevelType w:val="hybridMultilevel"/>
    <w:tmpl w:val="30FE0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951A7"/>
    <w:multiLevelType w:val="hybridMultilevel"/>
    <w:tmpl w:val="82DA67DC"/>
    <w:styleLink w:val="112"/>
    <w:lvl w:ilvl="0" w:tplc="30C69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3"/>
    <w:rsid w:val="000303C1"/>
    <w:rsid w:val="000E4962"/>
    <w:rsid w:val="00155034"/>
    <w:rsid w:val="001A4CE0"/>
    <w:rsid w:val="001C52DA"/>
    <w:rsid w:val="002C1B3C"/>
    <w:rsid w:val="00380EE3"/>
    <w:rsid w:val="00461C5E"/>
    <w:rsid w:val="00496D7B"/>
    <w:rsid w:val="004E6CB8"/>
    <w:rsid w:val="00590148"/>
    <w:rsid w:val="006B715E"/>
    <w:rsid w:val="00777335"/>
    <w:rsid w:val="00804967"/>
    <w:rsid w:val="0083149D"/>
    <w:rsid w:val="008621E7"/>
    <w:rsid w:val="00906354"/>
    <w:rsid w:val="00950A10"/>
    <w:rsid w:val="00970DC5"/>
    <w:rsid w:val="00A31ECD"/>
    <w:rsid w:val="00AC02DF"/>
    <w:rsid w:val="00BC03D8"/>
    <w:rsid w:val="00BE1013"/>
    <w:rsid w:val="00C03C73"/>
    <w:rsid w:val="00C24D6A"/>
    <w:rsid w:val="00C81C61"/>
    <w:rsid w:val="00CD0283"/>
    <w:rsid w:val="00DA6F0F"/>
    <w:rsid w:val="00E8319F"/>
    <w:rsid w:val="00EC25D5"/>
    <w:rsid w:val="00ED329D"/>
    <w:rsid w:val="00F96A39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8E3AF2"/>
  <w15:chartTrackingRefBased/>
  <w15:docId w15:val="{89DCFC58-FECC-46A3-9FEB-171AA023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7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7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7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7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7F3"/>
    <w:rPr>
      <w:b/>
      <w:bCs/>
      <w:smallCaps/>
      <w:color w:val="2F5496" w:themeColor="accent1" w:themeShade="BF"/>
      <w:spacing w:val="5"/>
    </w:rPr>
  </w:style>
  <w:style w:type="numbering" w:customStyle="1" w:styleId="112">
    <w:name w:val="Стиль маркированный112"/>
    <w:rsid w:val="00C24D6A"/>
    <w:pPr>
      <w:numPr>
        <w:numId w:val="6"/>
      </w:numPr>
    </w:pPr>
  </w:style>
  <w:style w:type="numbering" w:customStyle="1" w:styleId="1ai72121">
    <w:name w:val="1 / a / i72121"/>
    <w:basedOn w:val="a2"/>
    <w:next w:val="1ai"/>
    <w:rsid w:val="00804967"/>
    <w:pPr>
      <w:numPr>
        <w:numId w:val="7"/>
      </w:numPr>
    </w:pPr>
  </w:style>
  <w:style w:type="numbering" w:styleId="1ai">
    <w:name w:val="Outline List 1"/>
    <w:basedOn w:val="a2"/>
    <w:uiPriority w:val="99"/>
    <w:semiHidden/>
    <w:unhideWhenUsed/>
    <w:rsid w:val="00804967"/>
  </w:style>
  <w:style w:type="paragraph" w:customStyle="1" w:styleId="isselectedend">
    <w:name w:val="isselectedend"/>
    <w:basedOn w:val="a"/>
    <w:rsid w:val="0049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49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3928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 267</dc:creator>
  <cp:keywords/>
  <dc:description/>
  <cp:lastModifiedBy>Zhanar Murzagaliyeva</cp:lastModifiedBy>
  <cp:revision>7</cp:revision>
  <dcterms:created xsi:type="dcterms:W3CDTF">2026-04-22T09:40:00Z</dcterms:created>
  <dcterms:modified xsi:type="dcterms:W3CDTF">2026-06-23T06:33:00Z</dcterms:modified>
</cp:coreProperties>
</file>