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8A" w:rsidRPr="006776EE" w:rsidRDefault="00127D8A" w:rsidP="006776EE">
      <w:pPr>
        <w:jc w:val="center"/>
        <w:rPr>
          <w:b/>
          <w:caps/>
        </w:rPr>
      </w:pPr>
      <w:r w:rsidRPr="006776EE">
        <w:rPr>
          <w:b/>
        </w:rPr>
        <w:t>Краткое нетехническое резюме</w:t>
      </w:r>
    </w:p>
    <w:p w:rsidR="00127D8A" w:rsidRPr="008A4598" w:rsidRDefault="00127D8A" w:rsidP="006776EE">
      <w:pPr>
        <w:rPr>
          <w:caps/>
        </w:rPr>
      </w:pPr>
      <w:r w:rsidRPr="008A4598">
        <w:t>ТОО «Тасбулат Ойл Корпорэйшн» является юридическим лицом, зарегистрированным на территории Республики Казахстан, имеет государственную лицензию на право пользования недрами, добычу углеводородного сырья на месторождениях Тасбулат, Туркменой и Актас.</w:t>
      </w:r>
    </w:p>
    <w:p w:rsidR="00127D8A" w:rsidRPr="008A4598" w:rsidRDefault="00127D8A" w:rsidP="006776EE">
      <w:pPr>
        <w:rPr>
          <w:caps/>
        </w:rPr>
      </w:pPr>
      <w:r w:rsidRPr="008A4598">
        <w:t>Форма собственности: Частная.</w:t>
      </w:r>
    </w:p>
    <w:p w:rsidR="00127D8A" w:rsidRPr="008A4598" w:rsidRDefault="00127D8A" w:rsidP="006776EE">
      <w:pPr>
        <w:rPr>
          <w:caps/>
        </w:rPr>
      </w:pPr>
      <w:r w:rsidRPr="008A4598">
        <w:t xml:space="preserve">Вид основной деятельности: </w:t>
      </w:r>
    </w:p>
    <w:p w:rsidR="00127D8A" w:rsidRPr="008A4598" w:rsidRDefault="00127D8A" w:rsidP="006776EE">
      <w:pPr>
        <w:rPr>
          <w:caps/>
        </w:rPr>
      </w:pPr>
      <w:r w:rsidRPr="008A4598">
        <w:t>Основным видом деятельности является недропользование на основании контракта №ГКИ169 на проведение добычи углеводородного сырья нефтегазоконденсатного месторождения Тасбулат заключенным 28.01.98 г., между Государственным Комитетом РК по инвестициям и ТОО «Тасбулат Ойл Корпорэйшн».</w:t>
      </w:r>
    </w:p>
    <w:p w:rsidR="00127D8A" w:rsidRPr="008A4598" w:rsidRDefault="00127D8A" w:rsidP="006776EE">
      <w:pPr>
        <w:rPr>
          <w:caps/>
        </w:rPr>
      </w:pPr>
      <w:r w:rsidRPr="008A4598">
        <w:t>Разведка и добыча углеводородного сырья на нефтегазовом месторождении Туркменой, расположенном на территории Мангистауского района Мангистауской области на основании контракта №614 от 12.12.2000 г., между Агентством РК по инвестициям и ТОО «Тасбулат Ойл Корпорэйшн».</w:t>
      </w:r>
    </w:p>
    <w:p w:rsidR="00127D8A" w:rsidRPr="008A4598" w:rsidRDefault="00127D8A" w:rsidP="006776EE">
      <w:pPr>
        <w:rPr>
          <w:caps/>
        </w:rPr>
      </w:pPr>
      <w:r w:rsidRPr="008A4598">
        <w:t>Разведка и добыча углеводородного сырья на нефтегазовом месторождении Актас, расположенном на территории Каракиянского района Мангистауской области на основании контракта №613 от 12.12.2000 г., между Агентством РК по инвестициям и ТОО «Тасбулат Ойл Корпорэйшн».</w:t>
      </w:r>
    </w:p>
    <w:p w:rsidR="00127D8A" w:rsidRPr="008A4598" w:rsidRDefault="00127D8A" w:rsidP="006776EE">
      <w:pPr>
        <w:rPr>
          <w:caps/>
        </w:rPr>
      </w:pPr>
      <w:r w:rsidRPr="008A4598">
        <w:t>Перечень структурных подразделений предприятия, основных и вспомогательных производств, участков:</w:t>
      </w:r>
    </w:p>
    <w:p w:rsidR="00127D8A" w:rsidRPr="008A4598" w:rsidRDefault="00127D8A" w:rsidP="006776EE">
      <w:pPr>
        <w:rPr>
          <w:caps/>
        </w:rPr>
      </w:pPr>
      <w:r w:rsidRPr="008A4598">
        <w:t>В состав объектов лицензионной блоков ТОО «Тасбулат Ойл Корпорэйшн» входят:</w:t>
      </w:r>
    </w:p>
    <w:p w:rsidR="00127D8A" w:rsidRPr="008A4598" w:rsidRDefault="00127D8A" w:rsidP="006776EE">
      <w:r w:rsidRPr="008A4598">
        <w:t>нефтяное месторождение Тасбулат;</w:t>
      </w:r>
    </w:p>
    <w:p w:rsidR="00127D8A" w:rsidRPr="008A4598" w:rsidRDefault="00127D8A" w:rsidP="006776EE">
      <w:r w:rsidRPr="008A4598">
        <w:t>нефтяное месторождение Туркменой;</w:t>
      </w:r>
    </w:p>
    <w:p w:rsidR="00127D8A" w:rsidRPr="008A4598" w:rsidRDefault="00127D8A" w:rsidP="006776EE">
      <w:r w:rsidRPr="008A4598">
        <w:t>нефтяное месторождение Актас;</w:t>
      </w:r>
    </w:p>
    <w:p w:rsidR="00127D8A" w:rsidRPr="008A4598" w:rsidRDefault="00127D8A" w:rsidP="006776EE">
      <w:pPr>
        <w:rPr>
          <w:caps/>
        </w:rPr>
      </w:pPr>
      <w:r w:rsidRPr="008A4598">
        <w:t>На месторождении Молдыбай добыча нефти в настоящее время не ведется.</w:t>
      </w:r>
    </w:p>
    <w:p w:rsidR="00127D8A" w:rsidRPr="008A4598" w:rsidRDefault="00127D8A" w:rsidP="006776EE">
      <w:pPr>
        <w:rPr>
          <w:caps/>
        </w:rPr>
      </w:pPr>
      <w:r w:rsidRPr="008A4598">
        <w:t>Место расположения и размер площади объектов.</w:t>
      </w:r>
    </w:p>
    <w:p w:rsidR="00127D8A" w:rsidRPr="008A4598" w:rsidRDefault="00127D8A" w:rsidP="006776EE">
      <w:pPr>
        <w:rPr>
          <w:caps/>
        </w:rPr>
      </w:pPr>
      <w:r w:rsidRPr="008A4598">
        <w:t>Общая площадь контрактной территории - месторождений Тасбулат - Туркменой - Актас составляет 19820,4 га.</w:t>
      </w:r>
    </w:p>
    <w:p w:rsidR="00127D8A" w:rsidRPr="008A4598" w:rsidRDefault="00127D8A" w:rsidP="006776EE">
      <w:pPr>
        <w:rPr>
          <w:caps/>
        </w:rPr>
      </w:pPr>
      <w:r w:rsidRPr="008A4598">
        <w:t>В состав лицензионных блоков ТОО «Тасбулат Ойл Корпорэйшн» входят месторождения Тасбулат, Актас, Туркменой, которые располагаются в районе активной нефте-газодобычи. Добываемая на этих месторождениях нефть поступает по трубопроводу в магистральный нефтепровод Жана-Озен-Самара.</w:t>
      </w:r>
    </w:p>
    <w:p w:rsidR="00127D8A" w:rsidRPr="008A4598" w:rsidRDefault="00127D8A" w:rsidP="006776EE">
      <w:pPr>
        <w:rPr>
          <w:caps/>
        </w:rPr>
      </w:pPr>
      <w:r w:rsidRPr="008A4598">
        <w:t>Руководство деятельностью ТОО «Тасбулат Ойл Корпорэйшн» осуществляется из головного офиса в г. Актау. Вахтовый лагерь и производственный офис располагаются на месторождении Тасбулат.</w:t>
      </w:r>
    </w:p>
    <w:p w:rsidR="00127D8A" w:rsidRPr="008A4598" w:rsidRDefault="00127D8A" w:rsidP="006776EE">
      <w:pPr>
        <w:rPr>
          <w:caps/>
        </w:rPr>
      </w:pPr>
      <w:r w:rsidRPr="008A4598">
        <w:t>Вахтовый поселок и офис в г. Актау соединены между собой и производственными объектами посредством радио-, телефонной, спутниковой и компьютерной связи.</w:t>
      </w:r>
    </w:p>
    <w:p w:rsidR="00127D8A" w:rsidRPr="008A4598" w:rsidRDefault="00127D8A" w:rsidP="006776EE">
      <w:pPr>
        <w:rPr>
          <w:caps/>
        </w:rPr>
      </w:pPr>
      <w:r w:rsidRPr="008A4598">
        <w:t>Снабжение технической водой осуществляется из водовода волжской воды Астрахань-Мангистау. Доставка бутилированной питьевой воды осуществляется автомобильным транспортом из г. Актау до вахтового лагеря.</w:t>
      </w:r>
    </w:p>
    <w:p w:rsidR="00127D8A" w:rsidRPr="008A4598" w:rsidRDefault="00127D8A" w:rsidP="006776EE">
      <w:pPr>
        <w:rPr>
          <w:caps/>
        </w:rPr>
      </w:pPr>
      <w:r w:rsidRPr="008A4598">
        <w:t xml:space="preserve">Персонал месторождений, в количестве </w:t>
      </w:r>
      <w:r w:rsidR="00DF1A6C">
        <w:t>19</w:t>
      </w:r>
      <w:r w:rsidRPr="008A4598">
        <w:t>0 человек, проживает в утепленных модульных блоках в вахтовом городке. На территории месторождения персонал работает вахтовым методом (15х15, 28х28); время работы в офисе составляет 8 часов. На территории вахтового городка находятся: административный блок - 2-х этажное здание (сборный дом), пожарное депо, столовая, мастерские, жилые и складские помещения. Все объекты обеспечены противопожарной сигнализацией.</w:t>
      </w:r>
    </w:p>
    <w:p w:rsidR="00127D8A" w:rsidRPr="008A4598" w:rsidRDefault="00127D8A" w:rsidP="006776EE">
      <w:pPr>
        <w:rPr>
          <w:caps/>
        </w:rPr>
      </w:pPr>
      <w:r w:rsidRPr="008A4598">
        <w:t xml:space="preserve">В вахтовом поселке имеется медпункт, машина скорой помощи и квалифицированный медперсонал с круглосуточным дежурством, а также устойчивая радио-телекоммуникационная, факсимильная, спутниковая и интернет связь. </w:t>
      </w:r>
    </w:p>
    <w:p w:rsidR="00127D8A" w:rsidRPr="008A4598" w:rsidRDefault="00127D8A" w:rsidP="006776EE">
      <w:pPr>
        <w:rPr>
          <w:caps/>
        </w:rPr>
      </w:pPr>
      <w:r w:rsidRPr="008A4598">
        <w:t>Согласно карте административно-территориального деления месторождения Тасбулат, Актас, Туркменой, Молдыбай располагаются в Каракиянском и Мангистауском районах Мангистауской области, районными центрами которых являются рабочие поселки Курык и Шетпе.</w:t>
      </w:r>
    </w:p>
    <w:p w:rsidR="00127D8A" w:rsidRPr="008A4598" w:rsidRDefault="00127D8A" w:rsidP="006776EE">
      <w:pPr>
        <w:rPr>
          <w:caps/>
        </w:rPr>
      </w:pPr>
      <w:r w:rsidRPr="008A4598">
        <w:t>Ближайшая к месторождениям железнодорожная ветка проходит по линии Актау- Жанаозен. Вдоль железной дороги проходит автомобильная дорога республиканского значения, ЛЭП, линия телефонной связи. От автомобильной дороги Актау-Жанаозен проложена асфальтированная автодорога до вахтового лагеря Тасбулат.</w:t>
      </w:r>
    </w:p>
    <w:p w:rsidR="00127D8A" w:rsidRPr="008A4598" w:rsidRDefault="00127D8A" w:rsidP="006776EE">
      <w:pPr>
        <w:rPr>
          <w:caps/>
        </w:rPr>
      </w:pPr>
      <w:r w:rsidRPr="008A4598">
        <w:lastRenderedPageBreak/>
        <w:t>Через территорию блока месторождений проходят 3 высоковольтные линии (2 ЛЭП- 220 кВ и 1 ЛЭП-110 кВ). Также имеются ЛЭП напряжением 35 кВ, связывающие газовые промыслы.</w:t>
      </w:r>
    </w:p>
    <w:p w:rsidR="00127D8A" w:rsidRPr="008A4598" w:rsidRDefault="00127D8A" w:rsidP="006776EE">
      <w:pPr>
        <w:rPr>
          <w:caps/>
        </w:rPr>
      </w:pPr>
      <w:r w:rsidRPr="008A4598">
        <w:t>Социально-экономическое развитие данного региона происходит в жестких природно-климатических условиях. Дефицит пресной воды и низкое плодородие почв обуславливают неравномерность распределения населения по территориям областей и приуроченность населенных пунктов к нефтегазодобывающим месторождениям.</w:t>
      </w:r>
    </w:p>
    <w:p w:rsidR="00127D8A" w:rsidRPr="008A4598" w:rsidRDefault="00127D8A" w:rsidP="006776EE">
      <w:pPr>
        <w:rPr>
          <w:caps/>
        </w:rPr>
      </w:pPr>
      <w:r w:rsidRPr="008A4598">
        <w:t xml:space="preserve">Все месторождения ТОО «Тасбулат Ойл Корпорэйшн» располагаются в районе активной нефте-, газодобычи. В непосредственной близости находятся месторождения Жетыбай, Восточный Жетыбай, Южный Жетыбай, Каменистое, Бектурлы, Юго-Восточное, Асар. Обзорная карта-схема расположения месторождений ТОО «Тасбулат Ойл Корпорэйш» представлена на рисунке 1.1. </w:t>
      </w:r>
    </w:p>
    <w:p w:rsidR="00127D8A" w:rsidRPr="008A4598" w:rsidRDefault="00127D8A" w:rsidP="006776EE">
      <w:pPr>
        <w:rPr>
          <w:caps/>
        </w:rPr>
      </w:pPr>
      <w:r w:rsidRPr="008A4598">
        <w:t>Месторождения Актас, Туркменой, Тасболат располагаются в южной пустынной части полуострова Мангышлак на территории Мангышлакского прогиба.</w:t>
      </w:r>
    </w:p>
    <w:p w:rsidR="00127D8A" w:rsidRPr="008A4598" w:rsidRDefault="00127D8A" w:rsidP="006776EE">
      <w:pPr>
        <w:rPr>
          <w:caps/>
        </w:rPr>
      </w:pPr>
      <w:r w:rsidRPr="008A4598">
        <w:t>Природный климатический режим района расположения месторождений формируется под воздействием арктических, иранских и туранских воздушных масс. В холодный период года над территорией господствуют воздушные массы, поступающие от западного отрога сибирского антициклона, в теплый период года они сменяются континентальными туранскими и иранскими воздушными массами. Под влиянием этих масс формируется резко континентальный, засушливый климат.</w:t>
      </w:r>
    </w:p>
    <w:p w:rsidR="00127D8A" w:rsidRPr="008A4598" w:rsidRDefault="00127D8A" w:rsidP="006776EE">
      <w:pPr>
        <w:rPr>
          <w:caps/>
        </w:rPr>
      </w:pPr>
      <w:r w:rsidRPr="008A4598">
        <w:t>Для климатической характеристики района использованы данные метеостанции Тущибек, Узень, Аккудук.</w:t>
      </w:r>
    </w:p>
    <w:p w:rsidR="00127D8A" w:rsidRPr="008A4598" w:rsidRDefault="00127D8A" w:rsidP="006776EE">
      <w:pPr>
        <w:rPr>
          <w:caps/>
        </w:rPr>
      </w:pPr>
      <w:r w:rsidRPr="008A4598">
        <w:t>Рассматриваемый регион относится к четвертому климатическому району, подрайону VI-А, который характеризуется большой продолжительностью теплого периода, обилием солнечных дней, малым количеством осадков. Климат района резко континентальный, сухой, с высокой активностью ветрового режима, большими колебаниями погодных условий в течение года от весьма холодной зимы до очень жаркого лета, малым количеством осадков (около 120 мм в год) и большой сухостью воздуха.</w:t>
      </w:r>
    </w:p>
    <w:p w:rsidR="00127D8A" w:rsidRPr="008A4598" w:rsidRDefault="00127D8A" w:rsidP="006776EE">
      <w:pPr>
        <w:rPr>
          <w:caps/>
        </w:rPr>
      </w:pPr>
      <w:r w:rsidRPr="008A4598">
        <w:t>Зима (декабрь-февраль) умеренно холодная, малоснежная, преимущественно с пасмурной погодой. Устойчивые морозы начинаются в середине декабря. Самый холодный месяц январь, температура воздуха днем минус 3 ˚С – минус 5 ˚С, ночью минус 3 ˚С – минус 13 ˚С (минимальная температура – минус 36 ˚С). Днем нередко бывают оттепели с температурой воздуха до плюс 11 ˚С. Осадки почти всегда бывают в виде снега, но устойчивый снежный покров не образуется. Высота снежного покрова обычно не превышает 5 см. Средняя глубина промерзания грунта 70-100 см.</w:t>
      </w:r>
    </w:p>
    <w:p w:rsidR="00127D8A" w:rsidRPr="008A4598" w:rsidRDefault="00127D8A" w:rsidP="006776EE">
      <w:pPr>
        <w:rPr>
          <w:caps/>
        </w:rPr>
      </w:pPr>
      <w:r w:rsidRPr="008A4598">
        <w:t>Весна (март-апрель) преимущественно с ясной погодой, температура воздуха днем плюс 5 – плюс 15 ˚С, ночью плюс 2 ˚С – плюс 8 ˚С. В апреле по ночам температура обычно положительная, но до середины апреля возможны ночные заморозки.</w:t>
      </w:r>
    </w:p>
    <w:p w:rsidR="00127D8A" w:rsidRPr="008A4598" w:rsidRDefault="00127D8A" w:rsidP="006776EE">
      <w:pPr>
        <w:rPr>
          <w:caps/>
        </w:rPr>
      </w:pPr>
      <w:r w:rsidRPr="008A4598">
        <w:rPr>
          <w:caps/>
          <w:noProof/>
        </w:rPr>
        <w:lastRenderedPageBreak/>
        <w:drawing>
          <wp:inline distT="0" distB="0" distL="0" distR="0" wp14:anchorId="3692788F" wp14:editId="2C27DAEB">
            <wp:extent cx="5939790" cy="790448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0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D8A" w:rsidRPr="008A4598" w:rsidRDefault="00127D8A" w:rsidP="006776EE">
      <w:pPr>
        <w:rPr>
          <w:caps/>
        </w:rPr>
      </w:pPr>
      <w:bookmarkStart w:id="0" w:name="_Toc524310890"/>
      <w:r w:rsidRPr="008A4598">
        <w:t xml:space="preserve">Рисунок </w:t>
      </w:r>
      <w:fldSimple w:instr=" SEQ Рисунок \* ARABIC ">
        <w:r w:rsidRPr="008A4598">
          <w:rPr>
            <w:noProof/>
          </w:rPr>
          <w:t>1</w:t>
        </w:r>
      </w:fldSimple>
      <w:r w:rsidRPr="008A4598">
        <w:t>.1 – Обзорная карта-схема расположения месторождений ТОО «Тасбулат Ойл Корпорэйшн»</w:t>
      </w:r>
      <w:bookmarkEnd w:id="0"/>
    </w:p>
    <w:p w:rsidR="00127D8A" w:rsidRPr="008A4598" w:rsidRDefault="00127D8A" w:rsidP="006776EE">
      <w:pPr>
        <w:rPr>
          <w:caps/>
        </w:rPr>
      </w:pPr>
    </w:p>
    <w:p w:rsidR="00127D8A" w:rsidRPr="008A4598" w:rsidRDefault="00127D8A" w:rsidP="006776EE">
      <w:pPr>
        <w:rPr>
          <w:caps/>
        </w:rPr>
      </w:pPr>
      <w:r w:rsidRPr="008A4598">
        <w:t>Лето (май-сентябрь) сухое и жаркое, как правило, с ясной погодой. Температура воздуха днем плюс 23 ˚С – плюс 37 ˚С (максимальная температура – плюс 43 ˚С), ночью – плюс 11 ˚С – плюс 15 ˚С. Осадки выпадают редко, преимущественно, в виде кратковременных  ливней.</w:t>
      </w:r>
    </w:p>
    <w:p w:rsidR="00127D8A" w:rsidRPr="008A4598" w:rsidRDefault="00127D8A" w:rsidP="006776EE">
      <w:pPr>
        <w:rPr>
          <w:caps/>
        </w:rPr>
      </w:pPr>
      <w:r w:rsidRPr="008A4598">
        <w:lastRenderedPageBreak/>
        <w:t>Осень (октябрь-ноябрь) в октябре с ясной погодой, в ноябре – с пасмурной. Изредка выпадают моросящие дожди. Температура воздуха днем плюс 5 ˚С – плюс 13 ˚С, ночные заморозки начинаются во второй половине октября.</w:t>
      </w:r>
    </w:p>
    <w:p w:rsidR="00127D8A" w:rsidRPr="008A4598" w:rsidRDefault="00127D8A" w:rsidP="006776EE">
      <w:pPr>
        <w:rPr>
          <w:caps/>
        </w:rPr>
      </w:pPr>
      <w:r w:rsidRPr="008A4598">
        <w:t>Район месторождения по ветровому давлению относится к III району (до 15 м/сек). По средней скорости ветра в зимний период район относится к VI району.</w:t>
      </w:r>
    </w:p>
    <w:p w:rsidR="00127D8A" w:rsidRPr="008A4598" w:rsidRDefault="00127D8A" w:rsidP="006776EE">
      <w:pPr>
        <w:rPr>
          <w:caps/>
        </w:rPr>
      </w:pPr>
      <w:r w:rsidRPr="008A4598">
        <w:t>Атмосферные осадки по временам года распределяются неравномерно. Максимум приходится на зимне-весенний период, а с июня по октябрь осадки практически не выпадают. Максимальное количество осадков приходится на декабрь-апрель.</w:t>
      </w:r>
    </w:p>
    <w:p w:rsidR="00127D8A" w:rsidRPr="008A4598" w:rsidRDefault="00127D8A" w:rsidP="006776EE">
      <w:pPr>
        <w:rPr>
          <w:caps/>
        </w:rPr>
      </w:pPr>
      <w:r w:rsidRPr="008A4598">
        <w:t>Среднегодовая относительная влажность воздуха района рассматриваемой территории составляет 56-75%. Наиболее высоких значений она достигает в зимне-весенний период (75%), а наиболее низких – летом (56%).</w:t>
      </w:r>
    </w:p>
    <w:p w:rsidR="00127D8A" w:rsidRPr="008A4598" w:rsidRDefault="00127D8A" w:rsidP="006776EE">
      <w:pPr>
        <w:rPr>
          <w:caps/>
        </w:rPr>
      </w:pPr>
      <w:r w:rsidRPr="008A4598">
        <w:t>Наличие большого дефицита влажности (до 763 мб), при высоких абсолютных температурах воздуха и соответствующем температурном градиенте, создает условия для значительного испарения.</w:t>
      </w:r>
    </w:p>
    <w:p w:rsidR="00127D8A" w:rsidRPr="008A4598" w:rsidRDefault="00127D8A" w:rsidP="006776EE">
      <w:pPr>
        <w:rPr>
          <w:caps/>
        </w:rPr>
      </w:pPr>
      <w:r w:rsidRPr="008A4598">
        <w:t>Ветер. Погода преимущественно ветреная. Ветры в течение года, в основном, северные, восточные, северо-западные и юго-восточные. Значения среднемесячных скоростей ветра колеблются от 3,8 до 5,1 м/с. Наибольшие среднемесячные скорости ветра наблюдаются в зимнее время, наименьшие – летом. Наибольшую повторяемость имеют ветры со скоростью 3-4 м/с. Средняя годовая скорость ветра составляет 4,4 м/с.</w:t>
      </w:r>
    </w:p>
    <w:p w:rsidR="00127D8A" w:rsidRPr="008A4598" w:rsidRDefault="00127D8A" w:rsidP="006776EE">
      <w:pPr>
        <w:rPr>
          <w:caps/>
        </w:rPr>
      </w:pPr>
      <w:r w:rsidRPr="008A4598">
        <w:t>Атмосферные осадки. Режим осадков в незначительной мере зависит от взаимодействия различных по происхождению воздушных масс с рельефом местности. Рассматриваемый регион отличается большой засушливостью, что связано с малой доступностью для влажных атлантических масс воздуха, являющихся основным источником осадков.</w:t>
      </w:r>
    </w:p>
    <w:p w:rsidR="00127D8A" w:rsidRPr="008A4598" w:rsidRDefault="00127D8A" w:rsidP="006776EE">
      <w:pPr>
        <w:rPr>
          <w:caps/>
        </w:rPr>
      </w:pPr>
      <w:r w:rsidRPr="008A4598">
        <w:t xml:space="preserve">При этом, на повышенном фоне количества осадков с марта по октябрь, выделяется два максимума: в марте-апреле и сентябре. </w:t>
      </w:r>
    </w:p>
    <w:p w:rsidR="00127D8A" w:rsidRPr="008A4598" w:rsidRDefault="00127D8A" w:rsidP="006776EE">
      <w:pPr>
        <w:rPr>
          <w:caps/>
        </w:rPr>
      </w:pPr>
      <w:r w:rsidRPr="008A4598">
        <w:t>Летние осадки непродолжительны и носят преимущественно ливневый характер, вызывая на склонах эрозию почв. В отдельные засушливые годы на протяжении всего лета дождей не бывает вообще.</w:t>
      </w:r>
    </w:p>
    <w:p w:rsidR="00127D8A" w:rsidRPr="008A4598" w:rsidRDefault="00127D8A" w:rsidP="006776EE">
      <w:pPr>
        <w:rPr>
          <w:caps/>
        </w:rPr>
      </w:pPr>
      <w:r w:rsidRPr="008A4598">
        <w:t>Снежный покров. Рассматриваемый район относится к зоне с неустойчивым снежным покровом. Устойчивый снежный покров образуется только в 22% всех зим, а остальные 78% наблюдается неустойчивый снежный покров.</w:t>
      </w:r>
    </w:p>
    <w:p w:rsidR="00127D8A" w:rsidRPr="008A4598" w:rsidRDefault="00127D8A" w:rsidP="006776EE">
      <w:pPr>
        <w:rPr>
          <w:caps/>
        </w:rPr>
      </w:pPr>
      <w:r w:rsidRPr="008A4598">
        <w:t xml:space="preserve">Влажность воздуха. Среднегодовая относительная влажность воздуха составляет 7,7 мб, средние месячные ее значения изменяются от 3,6 до 13,5 мб. Наибольшая относительная влажность воздуха наблюдается в период ноябрь-март (68-78%). Годовой ход дефицита влажности аналогичен ходу температуры воздуха, наибольших значений достигает в июле (22,1 мб), наименьших в декабре-феврале (1,1-1,5 мб). Средняя годовая его величина равна 9,5 мб. </w:t>
      </w:r>
    </w:p>
    <w:p w:rsidR="00127D8A" w:rsidRPr="008A4598" w:rsidRDefault="00127D8A" w:rsidP="006776EE">
      <w:bookmarkStart w:id="1" w:name="_Toc141801083"/>
      <w:r w:rsidRPr="008A4598">
        <w:t>Месторождение Тасбулат</w:t>
      </w:r>
      <w:bookmarkEnd w:id="1"/>
    </w:p>
    <w:p w:rsidR="00127D8A" w:rsidRPr="008A4598" w:rsidRDefault="00127D8A" w:rsidP="006776EE">
      <w:pPr>
        <w:rPr>
          <w:caps/>
        </w:rPr>
      </w:pPr>
      <w:r w:rsidRPr="008A4598">
        <w:t xml:space="preserve">Месторождение Тасбулат является самым крупным из месторождений, разрабатываемых компанией ТОО «Тасбулат Ойл Корпорэйшн». </w:t>
      </w:r>
    </w:p>
    <w:p w:rsidR="00127D8A" w:rsidRPr="008A4598" w:rsidRDefault="00127D8A" w:rsidP="006776EE">
      <w:pPr>
        <w:rPr>
          <w:caps/>
        </w:rPr>
      </w:pPr>
      <w:r w:rsidRPr="008A4598">
        <w:t>Лицензионная площадь составляет 4026,4 га и обозначена на топографическом плане угловыми точками, представленными в таблице.</w:t>
      </w:r>
    </w:p>
    <w:p w:rsidR="00127D8A" w:rsidRPr="008A4598" w:rsidRDefault="00127D8A" w:rsidP="006776EE">
      <w:pPr>
        <w:rPr>
          <w:caps/>
        </w:rPr>
      </w:pPr>
      <w:bookmarkStart w:id="2" w:name="_Toc101838450"/>
      <w:r w:rsidRPr="008A4598">
        <w:t>Координаты угловых точек месторождения Тасбулат</w:t>
      </w:r>
      <w:bookmarkEnd w:id="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7"/>
        <w:gridCol w:w="3061"/>
        <w:gridCol w:w="5653"/>
      </w:tblGrid>
      <w:tr w:rsidR="00127D8A" w:rsidRPr="008A4598" w:rsidTr="001F215F">
        <w:trPr>
          <w:trHeight w:val="20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№ точки</w:t>
            </w:r>
          </w:p>
        </w:tc>
        <w:tc>
          <w:tcPr>
            <w:tcW w:w="15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Широта (с.ш.)</w:t>
            </w:r>
          </w:p>
        </w:tc>
        <w:tc>
          <w:tcPr>
            <w:tcW w:w="28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Долгота (в.д.)</w:t>
            </w:r>
          </w:p>
        </w:tc>
      </w:tr>
      <w:tr w:rsidR="00127D8A" w:rsidRPr="008A4598" w:rsidTr="001F215F">
        <w:trPr>
          <w:trHeight w:val="20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</w:rPr>
              <w:t>43</w:t>
            </w:r>
            <w:r w:rsidRPr="008A4598">
              <w:rPr>
                <w:rFonts w:ascii="Times New Roman" w:hAnsi="Times New Roman" w:cs="Times New Roman"/>
                <w:vertAlign w:val="superscript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</w:t>
            </w:r>
            <w:r w:rsidRPr="008A4598">
              <w:rPr>
                <w:rFonts w:ascii="Times New Roman" w:hAnsi="Times New Roman" w:cs="Times New Roman"/>
                <w:lang w:val="en-US"/>
              </w:rPr>
              <w:t>3</w:t>
            </w:r>
            <w:r w:rsidRPr="008A4598">
              <w:rPr>
                <w:rFonts w:ascii="Times New Roman" w:hAnsi="Times New Roman" w:cs="Times New Roman"/>
              </w:rPr>
              <w:t>'</w:t>
            </w:r>
            <w:r w:rsidRPr="008A4598">
              <w:rPr>
                <w:rFonts w:ascii="Times New Roman" w:hAnsi="Times New Roman" w:cs="Times New Roman"/>
                <w:lang w:val="en-US"/>
              </w:rPr>
              <w:t>28.64</w:t>
            </w:r>
            <w:r w:rsidRPr="008A4598">
              <w:rPr>
                <w:rFonts w:ascii="Times New Roman" w:hAnsi="Times New Roman" w:cs="Times New Roman"/>
              </w:rPr>
              <w:t>''</w:t>
            </w:r>
          </w:p>
        </w:tc>
        <w:tc>
          <w:tcPr>
            <w:tcW w:w="28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  <w:lang w:val="en-US"/>
              </w:rPr>
              <w:t>5</w:t>
            </w:r>
            <w:r w:rsidRPr="008A4598">
              <w:rPr>
                <w:rFonts w:ascii="Times New Roman" w:hAnsi="Times New Roman" w:cs="Times New Roman"/>
              </w:rPr>
              <w:t>2</w:t>
            </w:r>
            <w:r w:rsidRPr="008A4598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8A4598">
              <w:rPr>
                <w:rFonts w:ascii="Times New Roman" w:hAnsi="Times New Roman" w:cs="Times New Roman"/>
              </w:rPr>
              <w:t>1</w:t>
            </w:r>
            <w:r w:rsidRPr="008A4598">
              <w:rPr>
                <w:rFonts w:ascii="Times New Roman" w:hAnsi="Times New Roman" w:cs="Times New Roman"/>
                <w:lang w:val="en-US"/>
              </w:rPr>
              <w:t>8</w:t>
            </w:r>
            <w:r w:rsidRPr="008A4598">
              <w:rPr>
                <w:rFonts w:ascii="Times New Roman" w:hAnsi="Times New Roman" w:cs="Times New Roman"/>
              </w:rPr>
              <w:t>'</w:t>
            </w:r>
            <w:r w:rsidRPr="008A4598">
              <w:rPr>
                <w:rFonts w:ascii="Times New Roman" w:hAnsi="Times New Roman" w:cs="Times New Roman"/>
                <w:lang w:val="en-US"/>
              </w:rPr>
              <w:t>2</w:t>
            </w:r>
            <w:r w:rsidRPr="008A4598">
              <w:rPr>
                <w:rFonts w:ascii="Times New Roman" w:hAnsi="Times New Roman" w:cs="Times New Roman"/>
              </w:rPr>
              <w:t>348''</w:t>
            </w:r>
          </w:p>
        </w:tc>
      </w:tr>
      <w:tr w:rsidR="00127D8A" w:rsidRPr="008A4598" w:rsidTr="001F215F">
        <w:trPr>
          <w:trHeight w:val="20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</w:rPr>
              <w:t>43</w:t>
            </w:r>
            <w:r w:rsidRPr="008A4598">
              <w:rPr>
                <w:rFonts w:ascii="Times New Roman" w:hAnsi="Times New Roman" w:cs="Times New Roman"/>
                <w:vertAlign w:val="superscript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23'53.97''</w:t>
            </w:r>
          </w:p>
        </w:tc>
        <w:tc>
          <w:tcPr>
            <w:tcW w:w="28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  <w:lang w:val="en-US"/>
              </w:rPr>
              <w:t>5</w:t>
            </w:r>
            <w:r w:rsidRPr="008A4598">
              <w:rPr>
                <w:rFonts w:ascii="Times New Roman" w:hAnsi="Times New Roman" w:cs="Times New Roman"/>
              </w:rPr>
              <w:t>2</w:t>
            </w:r>
            <w:r w:rsidRPr="008A4598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8A4598">
              <w:rPr>
                <w:rFonts w:ascii="Times New Roman" w:hAnsi="Times New Roman" w:cs="Times New Roman"/>
              </w:rPr>
              <w:t>18'41.53''</w:t>
            </w:r>
          </w:p>
        </w:tc>
      </w:tr>
      <w:tr w:rsidR="00127D8A" w:rsidRPr="008A4598" w:rsidTr="001F215F">
        <w:trPr>
          <w:trHeight w:val="20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</w:rPr>
              <w:t>43</w:t>
            </w:r>
            <w:r w:rsidRPr="008A4598">
              <w:rPr>
                <w:rFonts w:ascii="Times New Roman" w:hAnsi="Times New Roman" w:cs="Times New Roman"/>
                <w:vertAlign w:val="superscript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23'50.34''</w:t>
            </w:r>
          </w:p>
        </w:tc>
        <w:tc>
          <w:tcPr>
            <w:tcW w:w="28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  <w:lang w:val="en-US"/>
              </w:rPr>
              <w:t>5</w:t>
            </w:r>
            <w:r w:rsidRPr="008A4598">
              <w:rPr>
                <w:rFonts w:ascii="Times New Roman" w:hAnsi="Times New Roman" w:cs="Times New Roman"/>
              </w:rPr>
              <w:t>2</w:t>
            </w:r>
            <w:r w:rsidRPr="008A4598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8A4598">
              <w:rPr>
                <w:rFonts w:ascii="Times New Roman" w:hAnsi="Times New Roman" w:cs="Times New Roman"/>
              </w:rPr>
              <w:t>19'31.52''</w:t>
            </w:r>
          </w:p>
        </w:tc>
      </w:tr>
      <w:tr w:rsidR="00127D8A" w:rsidRPr="008A4598" w:rsidTr="001F215F">
        <w:trPr>
          <w:trHeight w:val="20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5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</w:rPr>
              <w:t>43</w:t>
            </w:r>
            <w:r w:rsidRPr="008A4598">
              <w:rPr>
                <w:rFonts w:ascii="Times New Roman" w:hAnsi="Times New Roman" w:cs="Times New Roman"/>
                <w:vertAlign w:val="superscript"/>
              </w:rPr>
              <w:t>0</w:t>
            </w:r>
            <w:r w:rsidRPr="008A4598">
              <w:rPr>
                <w:rFonts w:ascii="Times New Roman" w:hAnsi="Times New Roman" w:cs="Times New Roman"/>
              </w:rPr>
              <w:t>16'13.02''</w:t>
            </w:r>
          </w:p>
        </w:tc>
        <w:tc>
          <w:tcPr>
            <w:tcW w:w="28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</w:rPr>
              <w:t>4</w:t>
            </w:r>
            <w:r w:rsidRPr="008A4598">
              <w:rPr>
                <w:rFonts w:ascii="Times New Roman" w:hAnsi="Times New Roman" w:cs="Times New Roman"/>
                <w:lang w:val="en-US"/>
              </w:rPr>
              <w:t>5</w:t>
            </w:r>
            <w:r w:rsidRPr="008A4598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8A4598">
              <w:rPr>
                <w:rFonts w:ascii="Times New Roman" w:hAnsi="Times New Roman" w:cs="Times New Roman"/>
              </w:rPr>
              <w:t>42'03.27''</w:t>
            </w:r>
          </w:p>
        </w:tc>
      </w:tr>
      <w:tr w:rsidR="00127D8A" w:rsidRPr="008A4598" w:rsidTr="001F215F">
        <w:trPr>
          <w:trHeight w:val="20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</w:rPr>
              <w:t>43</w:t>
            </w:r>
            <w:r w:rsidRPr="008A4598">
              <w:rPr>
                <w:rFonts w:ascii="Times New Roman" w:hAnsi="Times New Roman" w:cs="Times New Roman"/>
                <w:vertAlign w:val="superscript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22'42.07''</w:t>
            </w:r>
          </w:p>
        </w:tc>
        <w:tc>
          <w:tcPr>
            <w:tcW w:w="28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  <w:lang w:val="en-US"/>
              </w:rPr>
              <w:t>5</w:t>
            </w:r>
            <w:r w:rsidRPr="008A4598">
              <w:rPr>
                <w:rFonts w:ascii="Times New Roman" w:hAnsi="Times New Roman" w:cs="Times New Roman"/>
              </w:rPr>
              <w:t>2</w:t>
            </w:r>
            <w:r w:rsidRPr="008A4598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21'32.96''</w:t>
            </w:r>
          </w:p>
        </w:tc>
      </w:tr>
      <w:tr w:rsidR="00127D8A" w:rsidRPr="008A4598" w:rsidTr="001F215F">
        <w:trPr>
          <w:trHeight w:val="20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5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</w:rPr>
              <w:t>43</w:t>
            </w:r>
            <w:r w:rsidRPr="008A4598">
              <w:rPr>
                <w:rFonts w:ascii="Times New Roman" w:hAnsi="Times New Roman" w:cs="Times New Roman"/>
                <w:vertAlign w:val="superscript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21'57.81''</w:t>
            </w:r>
          </w:p>
        </w:tc>
        <w:tc>
          <w:tcPr>
            <w:tcW w:w="28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  <w:lang w:val="en-US"/>
              </w:rPr>
              <w:t>5</w:t>
            </w:r>
            <w:r w:rsidRPr="008A4598">
              <w:rPr>
                <w:rFonts w:ascii="Times New Roman" w:hAnsi="Times New Roman" w:cs="Times New Roman"/>
              </w:rPr>
              <w:t>2</w:t>
            </w:r>
            <w:r w:rsidRPr="008A4598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23'59.15''</w:t>
            </w:r>
          </w:p>
        </w:tc>
      </w:tr>
      <w:tr w:rsidR="00127D8A" w:rsidRPr="008A4598" w:rsidTr="001F215F">
        <w:trPr>
          <w:trHeight w:val="20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15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</w:rPr>
              <w:t>43</w:t>
            </w:r>
            <w:r w:rsidRPr="008A4598">
              <w:rPr>
                <w:rFonts w:ascii="Times New Roman" w:hAnsi="Times New Roman" w:cs="Times New Roman"/>
                <w:vertAlign w:val="superscript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21'38.38''</w:t>
            </w:r>
          </w:p>
        </w:tc>
        <w:tc>
          <w:tcPr>
            <w:tcW w:w="28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  <w:lang w:val="en-US"/>
              </w:rPr>
              <w:t>5</w:t>
            </w:r>
            <w:r w:rsidRPr="008A4598">
              <w:rPr>
                <w:rFonts w:ascii="Times New Roman" w:hAnsi="Times New Roman" w:cs="Times New Roman"/>
              </w:rPr>
              <w:t>2</w:t>
            </w:r>
            <w:r w:rsidRPr="008A4598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23'50.49''</w:t>
            </w:r>
          </w:p>
        </w:tc>
      </w:tr>
      <w:tr w:rsidR="00127D8A" w:rsidRPr="008A4598" w:rsidTr="001F215F">
        <w:trPr>
          <w:trHeight w:val="20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15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</w:rPr>
              <w:t>43</w:t>
            </w:r>
            <w:r w:rsidRPr="008A4598">
              <w:rPr>
                <w:rFonts w:ascii="Times New Roman" w:hAnsi="Times New Roman" w:cs="Times New Roman"/>
                <w:vertAlign w:val="superscript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22'10.93''</w:t>
            </w:r>
          </w:p>
        </w:tc>
        <w:tc>
          <w:tcPr>
            <w:tcW w:w="28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  <w:lang w:val="en-US"/>
              </w:rPr>
              <w:t>5</w:t>
            </w:r>
            <w:r w:rsidRPr="008A4598">
              <w:rPr>
                <w:rFonts w:ascii="Times New Roman" w:hAnsi="Times New Roman" w:cs="Times New Roman"/>
              </w:rPr>
              <w:t>2</w:t>
            </w:r>
            <w:r w:rsidRPr="008A4598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21'10.80''</w:t>
            </w:r>
          </w:p>
        </w:tc>
      </w:tr>
      <w:tr w:rsidR="00127D8A" w:rsidRPr="008A4598" w:rsidTr="001F215F">
        <w:trPr>
          <w:trHeight w:val="20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5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</w:rPr>
              <w:t>43</w:t>
            </w:r>
            <w:r w:rsidRPr="008A4598">
              <w:rPr>
                <w:rFonts w:ascii="Times New Roman" w:hAnsi="Times New Roman" w:cs="Times New Roman"/>
                <w:vertAlign w:val="superscript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22'27.77''</w:t>
            </w:r>
          </w:p>
        </w:tc>
        <w:tc>
          <w:tcPr>
            <w:tcW w:w="28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D8A" w:rsidRPr="008A4598" w:rsidRDefault="00127D8A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hAnsi="Times New Roman" w:cs="Times New Roman"/>
                <w:lang w:val="en-US"/>
              </w:rPr>
              <w:t>5</w:t>
            </w:r>
            <w:r w:rsidRPr="008A4598">
              <w:rPr>
                <w:rFonts w:ascii="Times New Roman" w:hAnsi="Times New Roman" w:cs="Times New Roman"/>
              </w:rPr>
              <w:t>2</w:t>
            </w:r>
            <w:r w:rsidRPr="008A4598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8A4598">
              <w:rPr>
                <w:rFonts w:ascii="Times New Roman" w:hAnsi="Times New Roman" w:cs="Times New Roman"/>
              </w:rPr>
              <w:t>20'13.49''</w:t>
            </w:r>
          </w:p>
        </w:tc>
      </w:tr>
    </w:tbl>
    <w:p w:rsidR="00127D8A" w:rsidRPr="008A4598" w:rsidRDefault="00127D8A" w:rsidP="006776EE">
      <w:pPr>
        <w:rPr>
          <w:caps/>
        </w:rPr>
      </w:pPr>
    </w:p>
    <w:p w:rsidR="00127D8A" w:rsidRPr="008A4598" w:rsidRDefault="00127D8A" w:rsidP="006776EE">
      <w:pPr>
        <w:rPr>
          <w:caps/>
        </w:rPr>
      </w:pPr>
      <w:r w:rsidRPr="008A4598">
        <w:lastRenderedPageBreak/>
        <w:t>В административном отношении участок, на котором располагается месторождение Тасбулат, относится к Каракиянскому району Мангистауской области.</w:t>
      </w:r>
    </w:p>
    <w:p w:rsidR="00127D8A" w:rsidRPr="008A4598" w:rsidRDefault="00127D8A" w:rsidP="006776EE">
      <w:pPr>
        <w:rPr>
          <w:caps/>
        </w:rPr>
      </w:pPr>
      <w:r w:rsidRPr="008A4598">
        <w:t>Ближайшим населенным пунктом к месторождению Тасбулат является пос. Мунайши, расстояние до него составляет 16 км.  Поселок Жетыбай отстоит от границ месторождения на 25 км, районный центр п. Курык находится в</w:t>
      </w:r>
      <w:r w:rsidRPr="008A4598">
        <w:tab/>
        <w:t xml:space="preserve"> 80 км, областной центр г. Актау - в 125 км.</w:t>
      </w:r>
    </w:p>
    <w:p w:rsidR="00127D8A" w:rsidRPr="008A4598" w:rsidRDefault="00127D8A" w:rsidP="006776EE">
      <w:pPr>
        <w:rPr>
          <w:caps/>
        </w:rPr>
      </w:pPr>
      <w:r w:rsidRPr="008A4598">
        <w:t>Месторождение Тасбулат было открыто в 1965 г. Залежи нефти и газа были разведаны в горизонтах Ю-1, Ю-6, Ю-10 и Ю-11. Запасы нефти и газа были утверждены ГКЗ СССР 16.05.69 г. (Протокол №5685).</w:t>
      </w:r>
    </w:p>
    <w:p w:rsidR="00127D8A" w:rsidRPr="008A4598" w:rsidRDefault="00127D8A" w:rsidP="006776EE">
      <w:pPr>
        <w:rPr>
          <w:caps/>
        </w:rPr>
      </w:pPr>
      <w:r w:rsidRPr="008A4598">
        <w:t>В 1975 г. на месторождении были начаты поисковые работы на триасовые отложения, которые привели к открытию залежей нефти и газа в среднем триасе.</w:t>
      </w:r>
    </w:p>
    <w:p w:rsidR="00127D8A" w:rsidRPr="008A4598" w:rsidRDefault="00127D8A" w:rsidP="006776EE">
      <w:pPr>
        <w:rPr>
          <w:caps/>
        </w:rPr>
      </w:pPr>
      <w:r w:rsidRPr="008A4598">
        <w:t xml:space="preserve">Основное направление деятельности компании в </w:t>
      </w:r>
      <w:r w:rsidR="00696FC3">
        <w:t>2026</w:t>
      </w:r>
      <w:r w:rsidRPr="008A4598">
        <w:t xml:space="preserve"> год</w:t>
      </w:r>
      <w:r w:rsidR="00696FC3">
        <w:t>у</w:t>
      </w:r>
      <w:r w:rsidRPr="008A4598">
        <w:t xml:space="preserve"> - продолжение промышленной добычи нефти на месторождении Тасбулат, проведение мероприятий по интенсификации притока.</w:t>
      </w:r>
    </w:p>
    <w:p w:rsidR="00127D8A" w:rsidRPr="008A4598" w:rsidRDefault="00127D8A" w:rsidP="006776EE">
      <w:bookmarkStart w:id="3" w:name="_Toc141801084"/>
      <w:r w:rsidRPr="008A4598">
        <w:t>Месторождение Туркменой</w:t>
      </w:r>
      <w:bookmarkEnd w:id="3"/>
      <w:r w:rsidRPr="008A4598">
        <w:t xml:space="preserve"> </w:t>
      </w:r>
    </w:p>
    <w:p w:rsidR="00127D8A" w:rsidRPr="008A4598" w:rsidRDefault="00127D8A" w:rsidP="006776EE">
      <w:pPr>
        <w:rPr>
          <w:caps/>
        </w:rPr>
      </w:pPr>
      <w:r w:rsidRPr="008A4598">
        <w:t>Месторождение Туркменой административно располагается на территории Мангистауского района Мангистауской области. Площадь геологического отвода месторождения Туркменой составляет 11842 га.</w:t>
      </w:r>
    </w:p>
    <w:p w:rsidR="00127D8A" w:rsidRPr="008A4598" w:rsidRDefault="00127D8A" w:rsidP="006776EE">
      <w:pPr>
        <w:rPr>
          <w:caps/>
        </w:rPr>
      </w:pPr>
      <w:r w:rsidRPr="008A4598">
        <w:t>Ближайшим населенным пунктом к месторождению Туркменой является пос. Жанаозен (28 км). Примерно на таком же расстоянии находится железнодорожная станция Жетыбай. Районный центр - р.п. Шетпе расположен в 70 км. Областной центр -  город Актау расположен в 115 км от месторождения Туркменой.</w:t>
      </w:r>
    </w:p>
    <w:p w:rsidR="00127D8A" w:rsidRPr="008A4598" w:rsidRDefault="00127D8A" w:rsidP="006776EE">
      <w:pPr>
        <w:rPr>
          <w:caps/>
        </w:rPr>
      </w:pPr>
      <w:r w:rsidRPr="008A4598">
        <w:t>Территория месторождения Туркменой обозначена на топографическом плане угловыми точками, представленными в таблице</w:t>
      </w:r>
    </w:p>
    <w:p w:rsidR="00127D8A" w:rsidRPr="008A4598" w:rsidRDefault="00127D8A" w:rsidP="006776EE">
      <w:pPr>
        <w:rPr>
          <w:caps/>
        </w:rPr>
      </w:pPr>
      <w:bookmarkStart w:id="4" w:name="_Toc101838451"/>
      <w:r w:rsidRPr="008A4598">
        <w:t>Координаты угловых точек месторождения Туркменой</w:t>
      </w:r>
      <w:bookmarkEnd w:id="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"/>
        <w:gridCol w:w="4000"/>
        <w:gridCol w:w="4767"/>
      </w:tblGrid>
      <w:tr w:rsidR="001F215F" w:rsidRPr="008A4598" w:rsidTr="001E1107">
        <w:trPr>
          <w:trHeight w:val="165"/>
          <w:jc w:val="center"/>
        </w:trPr>
        <w:tc>
          <w:tcPr>
            <w:tcW w:w="555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№ точки</w:t>
            </w:r>
          </w:p>
        </w:tc>
        <w:tc>
          <w:tcPr>
            <w:tcW w:w="2029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Широта (с.ш.)</w:t>
            </w:r>
          </w:p>
        </w:tc>
        <w:tc>
          <w:tcPr>
            <w:tcW w:w="2416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Долгота (в.д.)</w:t>
            </w:r>
          </w:p>
        </w:tc>
      </w:tr>
      <w:tr w:rsidR="001F215F" w:rsidRPr="008A4598" w:rsidTr="001E1107">
        <w:trPr>
          <w:trHeight w:val="165"/>
          <w:jc w:val="center"/>
        </w:trPr>
        <w:tc>
          <w:tcPr>
            <w:tcW w:w="555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29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43о 33' 55"</w:t>
            </w:r>
          </w:p>
        </w:tc>
        <w:tc>
          <w:tcPr>
            <w:tcW w:w="2416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52о 27' 55"</w:t>
            </w:r>
          </w:p>
        </w:tc>
      </w:tr>
      <w:tr w:rsidR="001F215F" w:rsidRPr="008A4598" w:rsidTr="001E1107">
        <w:trPr>
          <w:jc w:val="center"/>
        </w:trPr>
        <w:tc>
          <w:tcPr>
            <w:tcW w:w="555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29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43о 33' 50"</w:t>
            </w:r>
          </w:p>
        </w:tc>
        <w:tc>
          <w:tcPr>
            <w:tcW w:w="2416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52о 28' 34.99"</w:t>
            </w:r>
          </w:p>
        </w:tc>
      </w:tr>
      <w:tr w:rsidR="001F215F" w:rsidRPr="008A4598" w:rsidTr="001E1107">
        <w:trPr>
          <w:jc w:val="center"/>
        </w:trPr>
        <w:tc>
          <w:tcPr>
            <w:tcW w:w="555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29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43о 33' 29.99"</w:t>
            </w:r>
          </w:p>
        </w:tc>
        <w:tc>
          <w:tcPr>
            <w:tcW w:w="2416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52о 30' 15.00"</w:t>
            </w:r>
          </w:p>
        </w:tc>
      </w:tr>
      <w:tr w:rsidR="001F215F" w:rsidRPr="008A4598" w:rsidTr="001E1107">
        <w:trPr>
          <w:jc w:val="center"/>
        </w:trPr>
        <w:tc>
          <w:tcPr>
            <w:tcW w:w="555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29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43о 32' 57.99"</w:t>
            </w:r>
          </w:p>
        </w:tc>
        <w:tc>
          <w:tcPr>
            <w:tcW w:w="2416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52о 31' 14.99"</w:t>
            </w:r>
          </w:p>
        </w:tc>
      </w:tr>
      <w:tr w:rsidR="001F215F" w:rsidRPr="008A4598" w:rsidTr="001E1107">
        <w:trPr>
          <w:jc w:val="center"/>
        </w:trPr>
        <w:tc>
          <w:tcPr>
            <w:tcW w:w="555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29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43о 32' 39.99"</w:t>
            </w:r>
          </w:p>
        </w:tc>
        <w:tc>
          <w:tcPr>
            <w:tcW w:w="2416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52о 31' 19.99"</w:t>
            </w:r>
          </w:p>
        </w:tc>
      </w:tr>
      <w:tr w:rsidR="001F215F" w:rsidRPr="008A4598" w:rsidTr="001E1107">
        <w:trPr>
          <w:jc w:val="center"/>
        </w:trPr>
        <w:tc>
          <w:tcPr>
            <w:tcW w:w="555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29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43о 32' 34.99"</w:t>
            </w:r>
          </w:p>
        </w:tc>
        <w:tc>
          <w:tcPr>
            <w:tcW w:w="2416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52о 30' 49.99"</w:t>
            </w:r>
          </w:p>
        </w:tc>
      </w:tr>
      <w:tr w:rsidR="001F215F" w:rsidRPr="008A4598" w:rsidTr="001E1107">
        <w:trPr>
          <w:jc w:val="center"/>
        </w:trPr>
        <w:tc>
          <w:tcPr>
            <w:tcW w:w="555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029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43о 32' 45.00"</w:t>
            </w:r>
          </w:p>
        </w:tc>
        <w:tc>
          <w:tcPr>
            <w:tcW w:w="2416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52о 29' 50.00"</w:t>
            </w:r>
          </w:p>
        </w:tc>
      </w:tr>
      <w:tr w:rsidR="001F215F" w:rsidRPr="008A4598" w:rsidTr="001E1107">
        <w:trPr>
          <w:jc w:val="center"/>
        </w:trPr>
        <w:tc>
          <w:tcPr>
            <w:tcW w:w="555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</w:rPr>
            </w:pPr>
            <w:r w:rsidRPr="008A459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029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43о 33' 35.00"</w:t>
            </w:r>
          </w:p>
        </w:tc>
        <w:tc>
          <w:tcPr>
            <w:tcW w:w="2416" w:type="pct"/>
            <w:vAlign w:val="center"/>
          </w:tcPr>
          <w:p w:rsidR="001F215F" w:rsidRPr="008A4598" w:rsidRDefault="001F215F" w:rsidP="006776EE">
            <w:pPr>
              <w:rPr>
                <w:rFonts w:ascii="Times New Roman" w:eastAsia="Times New Roman" w:hAnsi="Times New Roman" w:cs="Times New Roman"/>
                <w:bCs/>
              </w:rPr>
            </w:pPr>
            <w:r w:rsidRPr="008A4598">
              <w:rPr>
                <w:rFonts w:ascii="Times New Roman" w:eastAsia="Times New Roman" w:hAnsi="Times New Roman" w:cs="Times New Roman"/>
                <w:bCs/>
              </w:rPr>
              <w:t>52о 28' 09.99"</w:t>
            </w:r>
          </w:p>
        </w:tc>
      </w:tr>
    </w:tbl>
    <w:p w:rsidR="00127D8A" w:rsidRPr="008A4598" w:rsidRDefault="00127D8A" w:rsidP="006776EE">
      <w:pPr>
        <w:rPr>
          <w:caps/>
        </w:rPr>
      </w:pPr>
      <w:r w:rsidRPr="008A4598">
        <w:t>Месторождение Туркменой открыто в октябре 1969 года. В период 1968-1976 годов установлены и доказана промышленная значимость в юрских отложениях 6 нефтяных, 2 нефтегазовых горизонтов, залегающих на глубинах 1500-2500 м.</w:t>
      </w:r>
    </w:p>
    <w:p w:rsidR="00127D8A" w:rsidRPr="008A4598" w:rsidRDefault="00127D8A" w:rsidP="006776EE">
      <w:pPr>
        <w:rPr>
          <w:caps/>
        </w:rPr>
      </w:pPr>
      <w:r w:rsidRPr="008A4598">
        <w:t xml:space="preserve">С февраля 2003 года месторождение введено в пробную эксплуатацию. В период с мая 2004 г. по декабрь 2005 г. пробурены 6 опережающих добывающих скважин (21,22,23,24,25,30). </w:t>
      </w:r>
    </w:p>
    <w:p w:rsidR="00127D8A" w:rsidRPr="008A4598" w:rsidRDefault="00127D8A" w:rsidP="006776EE">
      <w:pPr>
        <w:rPr>
          <w:caps/>
        </w:rPr>
      </w:pPr>
      <w:r w:rsidRPr="008A4598">
        <w:t>Компанией полностью выполнена Программа утилизации попутного газа, утвержденная МЭМР РК от 15.06.2006г.: с апреля 2007 года полностью утилизируется попутный газ путем передачи на ТОО КазГПЗ, для собственных нужд газ используется как топливо для печей подогрева нефти.</w:t>
      </w:r>
    </w:p>
    <w:p w:rsidR="00127D8A" w:rsidRPr="008A4598" w:rsidRDefault="00127D8A" w:rsidP="006776EE">
      <w:pPr>
        <w:rPr>
          <w:caps/>
        </w:rPr>
      </w:pPr>
      <w:r w:rsidRPr="008A4598">
        <w:t xml:space="preserve">С вводом нового объекта пункта сбора нефти (ПСН) на м/р Туркменой транспортировка добытой нефти осуществляется по трубопроводу до ЦУПН. </w:t>
      </w:r>
    </w:p>
    <w:p w:rsidR="00127D8A" w:rsidRPr="008A4598" w:rsidRDefault="00127D8A" w:rsidP="006776EE">
      <w:pPr>
        <w:rPr>
          <w:caps/>
        </w:rPr>
      </w:pPr>
      <w:r w:rsidRPr="008A4598">
        <w:t xml:space="preserve">Основное направление деятельности компании в </w:t>
      </w:r>
      <w:r w:rsidR="00DF1A6C">
        <w:t>2026 год</w:t>
      </w:r>
      <w:r w:rsidRPr="008A4598">
        <w:t xml:space="preserve"> – продолжение промышленной добычи нефти на месторождении Туркменой, проведение мероприятий по интенсификации притока.</w:t>
      </w:r>
    </w:p>
    <w:p w:rsidR="00127D8A" w:rsidRPr="008A4598" w:rsidRDefault="00127D8A" w:rsidP="006776EE">
      <w:bookmarkStart w:id="5" w:name="_Toc141801085"/>
      <w:r w:rsidRPr="008A4598">
        <w:t>Месторождение Актас</w:t>
      </w:r>
      <w:bookmarkEnd w:id="5"/>
    </w:p>
    <w:p w:rsidR="00127D8A" w:rsidRPr="008A4598" w:rsidRDefault="00127D8A" w:rsidP="006776EE">
      <w:pPr>
        <w:rPr>
          <w:caps/>
        </w:rPr>
      </w:pPr>
      <w:r w:rsidRPr="008A4598">
        <w:t>Административно участок, на котором располагается месторождение Актас, попадает на территорию Каракиянского района Мангистауской области. Площадь геологического отвода месторождения составляет 39,52 га.</w:t>
      </w:r>
    </w:p>
    <w:p w:rsidR="00127D8A" w:rsidRPr="008A4598" w:rsidRDefault="00127D8A" w:rsidP="006776EE">
      <w:pPr>
        <w:rPr>
          <w:caps/>
        </w:rPr>
      </w:pPr>
      <w:r w:rsidRPr="008A4598">
        <w:t>Территория месторождения Актас обозначена на топографическом плане угловыми точками, представленными в таблице</w:t>
      </w:r>
    </w:p>
    <w:p w:rsidR="00127D8A" w:rsidRPr="008A4598" w:rsidRDefault="00127D8A" w:rsidP="006776EE">
      <w:pPr>
        <w:rPr>
          <w:caps/>
        </w:rPr>
      </w:pPr>
      <w:r w:rsidRPr="008A4598">
        <w:t>Координаты угловых точек месторождения Актас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4022"/>
        <w:gridCol w:w="4789"/>
      </w:tblGrid>
      <w:tr w:rsidR="00127D8A" w:rsidRPr="008A4598" w:rsidTr="001F215F">
        <w:trPr>
          <w:trHeight w:val="165"/>
          <w:jc w:val="center"/>
        </w:trPr>
        <w:tc>
          <w:tcPr>
            <w:tcW w:w="555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№ точки</w:t>
            </w:r>
          </w:p>
        </w:tc>
        <w:tc>
          <w:tcPr>
            <w:tcW w:w="2029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Широта (с.ш.)</w:t>
            </w:r>
          </w:p>
        </w:tc>
        <w:tc>
          <w:tcPr>
            <w:tcW w:w="2416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Долгота (в.д.)</w:t>
            </w:r>
          </w:p>
        </w:tc>
      </w:tr>
      <w:tr w:rsidR="00127D8A" w:rsidRPr="008A4598" w:rsidTr="001F215F">
        <w:trPr>
          <w:trHeight w:val="165"/>
          <w:jc w:val="center"/>
        </w:trPr>
        <w:tc>
          <w:tcPr>
            <w:tcW w:w="555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lastRenderedPageBreak/>
              <w:t>1</w:t>
            </w:r>
          </w:p>
        </w:tc>
        <w:tc>
          <w:tcPr>
            <w:tcW w:w="2029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43</w:t>
            </w:r>
            <w:r w:rsidRPr="00E9581B">
              <w:rPr>
                <w:rFonts w:eastAsia="Times New Roman" w:cs="Arial"/>
                <w:vertAlign w:val="superscript"/>
              </w:rPr>
              <w:t>о</w:t>
            </w:r>
            <w:r w:rsidRPr="00E9581B">
              <w:rPr>
                <w:rFonts w:eastAsia="Times New Roman" w:cs="Arial"/>
              </w:rPr>
              <w:t xml:space="preserve"> 27' 05"</w:t>
            </w:r>
          </w:p>
        </w:tc>
        <w:tc>
          <w:tcPr>
            <w:tcW w:w="2416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52</w:t>
            </w:r>
            <w:r w:rsidRPr="00E9581B">
              <w:rPr>
                <w:rFonts w:eastAsia="Times New Roman" w:cs="Arial"/>
                <w:vertAlign w:val="superscript"/>
              </w:rPr>
              <w:t>о</w:t>
            </w:r>
            <w:r w:rsidRPr="00E9581B">
              <w:rPr>
                <w:rFonts w:eastAsia="Times New Roman" w:cs="Arial"/>
              </w:rPr>
              <w:t xml:space="preserve"> 14' 50"</w:t>
            </w:r>
          </w:p>
        </w:tc>
      </w:tr>
      <w:tr w:rsidR="00127D8A" w:rsidRPr="008A4598" w:rsidTr="001F215F">
        <w:trPr>
          <w:jc w:val="center"/>
        </w:trPr>
        <w:tc>
          <w:tcPr>
            <w:tcW w:w="555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2</w:t>
            </w:r>
          </w:p>
        </w:tc>
        <w:tc>
          <w:tcPr>
            <w:tcW w:w="2029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43</w:t>
            </w:r>
            <w:r w:rsidRPr="00E9581B">
              <w:rPr>
                <w:rFonts w:eastAsia="Times New Roman" w:cs="Arial"/>
                <w:vertAlign w:val="superscript"/>
              </w:rPr>
              <w:t>о</w:t>
            </w:r>
            <w:r w:rsidRPr="00E9581B">
              <w:rPr>
                <w:rFonts w:eastAsia="Times New Roman" w:cs="Arial"/>
              </w:rPr>
              <w:t xml:space="preserve"> 27' 15"</w:t>
            </w:r>
          </w:p>
        </w:tc>
        <w:tc>
          <w:tcPr>
            <w:tcW w:w="2416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52</w:t>
            </w:r>
            <w:r w:rsidRPr="00E9581B">
              <w:rPr>
                <w:rFonts w:eastAsia="Times New Roman" w:cs="Arial"/>
                <w:vertAlign w:val="superscript"/>
              </w:rPr>
              <w:t xml:space="preserve">о </w:t>
            </w:r>
            <w:r w:rsidRPr="00E9581B">
              <w:rPr>
                <w:rFonts w:eastAsia="Times New Roman" w:cs="Arial"/>
              </w:rPr>
              <w:t>15' 25"</w:t>
            </w:r>
          </w:p>
        </w:tc>
      </w:tr>
      <w:tr w:rsidR="00127D8A" w:rsidRPr="008A4598" w:rsidTr="001F215F">
        <w:trPr>
          <w:jc w:val="center"/>
        </w:trPr>
        <w:tc>
          <w:tcPr>
            <w:tcW w:w="555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3</w:t>
            </w:r>
          </w:p>
        </w:tc>
        <w:tc>
          <w:tcPr>
            <w:tcW w:w="2029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43</w:t>
            </w:r>
            <w:r w:rsidRPr="00E9581B">
              <w:rPr>
                <w:rFonts w:eastAsia="Times New Roman" w:cs="Arial"/>
                <w:vertAlign w:val="superscript"/>
              </w:rPr>
              <w:t>о</w:t>
            </w:r>
            <w:r w:rsidRPr="00E9581B">
              <w:rPr>
                <w:rFonts w:eastAsia="Times New Roman" w:cs="Arial"/>
              </w:rPr>
              <w:t xml:space="preserve"> 26' 45"</w:t>
            </w:r>
          </w:p>
        </w:tc>
        <w:tc>
          <w:tcPr>
            <w:tcW w:w="2416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52</w:t>
            </w:r>
            <w:r w:rsidRPr="00E9581B">
              <w:rPr>
                <w:rFonts w:eastAsia="Times New Roman" w:cs="Arial"/>
                <w:vertAlign w:val="superscript"/>
              </w:rPr>
              <w:t xml:space="preserve">о </w:t>
            </w:r>
            <w:r w:rsidRPr="00E9581B">
              <w:rPr>
                <w:rFonts w:eastAsia="Times New Roman" w:cs="Arial"/>
              </w:rPr>
              <w:t>17' 05"</w:t>
            </w:r>
          </w:p>
        </w:tc>
      </w:tr>
      <w:tr w:rsidR="00127D8A" w:rsidRPr="008A4598" w:rsidTr="001F215F">
        <w:trPr>
          <w:jc w:val="center"/>
        </w:trPr>
        <w:tc>
          <w:tcPr>
            <w:tcW w:w="555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4</w:t>
            </w:r>
          </w:p>
        </w:tc>
        <w:tc>
          <w:tcPr>
            <w:tcW w:w="2029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43</w:t>
            </w:r>
            <w:r w:rsidRPr="00E9581B">
              <w:rPr>
                <w:rFonts w:eastAsia="Times New Roman" w:cs="Arial"/>
                <w:vertAlign w:val="superscript"/>
              </w:rPr>
              <w:t>о</w:t>
            </w:r>
            <w:r w:rsidRPr="00E9581B">
              <w:rPr>
                <w:rFonts w:eastAsia="Times New Roman" w:cs="Arial"/>
              </w:rPr>
              <w:t xml:space="preserve"> 25' 50"</w:t>
            </w:r>
          </w:p>
        </w:tc>
        <w:tc>
          <w:tcPr>
            <w:tcW w:w="2416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52</w:t>
            </w:r>
            <w:r w:rsidRPr="00E9581B">
              <w:rPr>
                <w:rFonts w:eastAsia="Times New Roman" w:cs="Arial"/>
                <w:vertAlign w:val="superscript"/>
              </w:rPr>
              <w:t>о</w:t>
            </w:r>
            <w:r w:rsidRPr="00E9581B">
              <w:rPr>
                <w:rFonts w:eastAsia="Times New Roman" w:cs="Arial"/>
              </w:rPr>
              <w:t xml:space="preserve"> 17' 45"</w:t>
            </w:r>
          </w:p>
        </w:tc>
      </w:tr>
      <w:tr w:rsidR="00127D8A" w:rsidRPr="008A4598" w:rsidTr="001F215F">
        <w:trPr>
          <w:jc w:val="center"/>
        </w:trPr>
        <w:tc>
          <w:tcPr>
            <w:tcW w:w="555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5</w:t>
            </w:r>
          </w:p>
        </w:tc>
        <w:tc>
          <w:tcPr>
            <w:tcW w:w="2029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43</w:t>
            </w:r>
            <w:r w:rsidRPr="00E9581B">
              <w:rPr>
                <w:rFonts w:eastAsia="Times New Roman" w:cs="Arial"/>
                <w:vertAlign w:val="superscript"/>
              </w:rPr>
              <w:t>о</w:t>
            </w:r>
            <w:r w:rsidRPr="00E9581B">
              <w:rPr>
                <w:rFonts w:eastAsia="Times New Roman" w:cs="Arial"/>
              </w:rPr>
              <w:t xml:space="preserve"> 25' 40"</w:t>
            </w:r>
          </w:p>
        </w:tc>
        <w:tc>
          <w:tcPr>
            <w:tcW w:w="2416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52</w:t>
            </w:r>
            <w:r w:rsidRPr="00E9581B">
              <w:rPr>
                <w:rFonts w:eastAsia="Times New Roman" w:cs="Arial"/>
                <w:vertAlign w:val="superscript"/>
              </w:rPr>
              <w:t xml:space="preserve">о </w:t>
            </w:r>
            <w:r w:rsidRPr="00E9581B">
              <w:rPr>
                <w:rFonts w:eastAsia="Times New Roman" w:cs="Arial"/>
              </w:rPr>
              <w:t>17' 25"</w:t>
            </w:r>
          </w:p>
        </w:tc>
      </w:tr>
      <w:tr w:rsidR="00127D8A" w:rsidRPr="008A4598" w:rsidTr="001F215F">
        <w:trPr>
          <w:jc w:val="center"/>
        </w:trPr>
        <w:tc>
          <w:tcPr>
            <w:tcW w:w="555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6</w:t>
            </w:r>
          </w:p>
        </w:tc>
        <w:tc>
          <w:tcPr>
            <w:tcW w:w="2029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43</w:t>
            </w:r>
            <w:r w:rsidRPr="00E9581B">
              <w:rPr>
                <w:rFonts w:eastAsia="Times New Roman" w:cs="Arial"/>
                <w:vertAlign w:val="superscript"/>
              </w:rPr>
              <w:t>о</w:t>
            </w:r>
            <w:r w:rsidRPr="00E9581B">
              <w:rPr>
                <w:rFonts w:eastAsia="Times New Roman" w:cs="Arial"/>
              </w:rPr>
              <w:t xml:space="preserve"> 25' 50"</w:t>
            </w:r>
          </w:p>
        </w:tc>
        <w:tc>
          <w:tcPr>
            <w:tcW w:w="2416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52</w:t>
            </w:r>
            <w:r w:rsidRPr="00E9581B">
              <w:rPr>
                <w:rFonts w:eastAsia="Times New Roman" w:cs="Arial"/>
                <w:vertAlign w:val="superscript"/>
              </w:rPr>
              <w:t>о</w:t>
            </w:r>
            <w:r w:rsidRPr="00E9581B">
              <w:rPr>
                <w:rFonts w:eastAsia="Times New Roman" w:cs="Arial"/>
              </w:rPr>
              <w:t xml:space="preserve"> 16' 30"</w:t>
            </w:r>
          </w:p>
        </w:tc>
      </w:tr>
      <w:tr w:rsidR="00127D8A" w:rsidRPr="008A4598" w:rsidTr="001F215F">
        <w:trPr>
          <w:jc w:val="center"/>
        </w:trPr>
        <w:tc>
          <w:tcPr>
            <w:tcW w:w="555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7</w:t>
            </w:r>
          </w:p>
        </w:tc>
        <w:tc>
          <w:tcPr>
            <w:tcW w:w="2029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43</w:t>
            </w:r>
            <w:r w:rsidRPr="00E9581B">
              <w:rPr>
                <w:rFonts w:eastAsia="Times New Roman" w:cs="Arial"/>
                <w:vertAlign w:val="superscript"/>
              </w:rPr>
              <w:t xml:space="preserve">о </w:t>
            </w:r>
            <w:r w:rsidRPr="00E9581B">
              <w:rPr>
                <w:rFonts w:eastAsia="Times New Roman" w:cs="Arial"/>
              </w:rPr>
              <w:t>26' 40"</w:t>
            </w:r>
          </w:p>
        </w:tc>
        <w:tc>
          <w:tcPr>
            <w:tcW w:w="2416" w:type="pct"/>
            <w:vAlign w:val="center"/>
          </w:tcPr>
          <w:p w:rsidR="00127D8A" w:rsidRPr="00E9581B" w:rsidRDefault="00127D8A" w:rsidP="00E9581B">
            <w:pPr>
              <w:spacing w:line="240" w:lineRule="auto"/>
              <w:ind w:firstLine="0"/>
              <w:rPr>
                <w:rFonts w:eastAsia="Times New Roman" w:cs="Arial"/>
              </w:rPr>
            </w:pPr>
            <w:r w:rsidRPr="00E9581B">
              <w:rPr>
                <w:rFonts w:eastAsia="Times New Roman" w:cs="Arial"/>
              </w:rPr>
              <w:t>52</w:t>
            </w:r>
            <w:r w:rsidRPr="00E9581B">
              <w:rPr>
                <w:rFonts w:eastAsia="Times New Roman" w:cs="Arial"/>
                <w:vertAlign w:val="superscript"/>
              </w:rPr>
              <w:t>о</w:t>
            </w:r>
            <w:r w:rsidRPr="00E9581B">
              <w:rPr>
                <w:rFonts w:eastAsia="Times New Roman" w:cs="Arial"/>
              </w:rPr>
              <w:t xml:space="preserve"> 15' 00"</w:t>
            </w:r>
          </w:p>
        </w:tc>
      </w:tr>
    </w:tbl>
    <w:p w:rsidR="00127D8A" w:rsidRPr="008A4598" w:rsidRDefault="00127D8A" w:rsidP="006776EE">
      <w:pPr>
        <w:rPr>
          <w:caps/>
        </w:rPr>
      </w:pPr>
    </w:p>
    <w:p w:rsidR="00127D8A" w:rsidRPr="008A4598" w:rsidRDefault="00127D8A" w:rsidP="006776EE">
      <w:pPr>
        <w:rPr>
          <w:caps/>
        </w:rPr>
      </w:pPr>
      <w:r w:rsidRPr="008A4598">
        <w:t xml:space="preserve">Ближайшим населенным пунктом к месторождению Актас является пос. Мунайши, расстояние до него составляет около 10 км. Поселок Жетыбай находится на расстоянии 20 км, г. Жанаозен -  50 км, областной центр г. Актау - примерно в 100 км. Районный центр – пос. Курык находится на расстоянии 70 км. Район характеризуется отсутствием пресных вод. Снабжение технической водой осуществляется за счет волжской воды из водовода Астрахань - Жанаозен. </w:t>
      </w:r>
    </w:p>
    <w:p w:rsidR="00127D8A" w:rsidRPr="008A4598" w:rsidRDefault="00127D8A" w:rsidP="006776EE">
      <w:pPr>
        <w:rPr>
          <w:caps/>
        </w:rPr>
      </w:pPr>
      <w:r w:rsidRPr="008A4598">
        <w:t xml:space="preserve">Основное направление деятельности компании в </w:t>
      </w:r>
      <w:r w:rsidR="00696FC3">
        <w:t>2026 году</w:t>
      </w:r>
      <w:r w:rsidRPr="008A4598">
        <w:t xml:space="preserve"> – продолжение промышленной добычи нефти на месторождении Актас.</w:t>
      </w:r>
    </w:p>
    <w:p w:rsidR="00127D8A" w:rsidRPr="00E9581B" w:rsidRDefault="00127D8A" w:rsidP="006776EE">
      <w:pPr>
        <w:rPr>
          <w:i/>
          <w:u w:val="single"/>
        </w:rPr>
      </w:pPr>
      <w:bookmarkStart w:id="6" w:name="_Toc141801106"/>
      <w:r w:rsidRPr="00E9581B">
        <w:rPr>
          <w:i/>
          <w:u w:val="single"/>
        </w:rPr>
        <w:t>Перспектива развития предприятия</w:t>
      </w:r>
      <w:bookmarkEnd w:id="6"/>
    </w:p>
    <w:p w:rsidR="005971DD" w:rsidRPr="001020C6" w:rsidRDefault="005971DD" w:rsidP="006776EE">
      <w:r w:rsidRPr="001020C6">
        <w:t>Перспектива развития месторождений ТОО «ТасбулатОйлКорпорэйшн» определена в:</w:t>
      </w:r>
    </w:p>
    <w:p w:rsidR="005971DD" w:rsidRPr="001020C6" w:rsidRDefault="005971DD" w:rsidP="006776EE">
      <w:r w:rsidRPr="001020C6">
        <w:t>Проекте разработки нефтяных и нефтегазовых залежей месторождения Туркменой (КГН МИиР РК №27-5-1403-И от 16.07.2016 г.) и Анализа   разработки месторождения Туркменой (Протокол ЦКРР РК № 04-0/8125-вн от 06.09.2022);</w:t>
      </w:r>
    </w:p>
    <w:p w:rsidR="005971DD" w:rsidRPr="001020C6" w:rsidRDefault="005971DD" w:rsidP="006776EE">
      <w:r w:rsidRPr="001020C6">
        <w:t>Проекте разработки нефтяных залежей месторождения Тасбулат (Протокол ЦКРР РК № 3/2 от 26.10.2018 г.;</w:t>
      </w:r>
    </w:p>
    <w:p w:rsidR="005971DD" w:rsidRPr="001020C6" w:rsidRDefault="005971DD" w:rsidP="006776EE">
      <w:r w:rsidRPr="001020C6">
        <w:t>Проекте разработки нефтяных залежей месторождения Актас (Протокол ЦКРР МЭ №16/12 от 19.08.2021г.).</w:t>
      </w:r>
    </w:p>
    <w:p w:rsidR="00E9581B" w:rsidRDefault="00E9581B" w:rsidP="006776EE"/>
    <w:tbl>
      <w:tblPr>
        <w:tblW w:w="5000" w:type="pct"/>
        <w:tblLook w:val="04A0" w:firstRow="1" w:lastRow="0" w:firstColumn="1" w:lastColumn="0" w:noHBand="0" w:noVBand="1"/>
      </w:tblPr>
      <w:tblGrid>
        <w:gridCol w:w="1504"/>
        <w:gridCol w:w="4728"/>
        <w:gridCol w:w="1826"/>
        <w:gridCol w:w="1853"/>
      </w:tblGrid>
      <w:tr w:rsidR="00E9581B" w:rsidRPr="00E9581B" w:rsidTr="00E9581B">
        <w:trPr>
          <w:trHeight w:val="227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№№ п/п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План на год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Тасбулат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Добыча нефти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тыс.т/год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17 411,0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Добыча газа, в том числе: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43 407 723,0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Сожжено на факелах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509 736,0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Использование газа на собственные нужды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2 800 000,0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Передача на ЦУПН Тасбулат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40 607 723,0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Туркменное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Добыча нефти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тыс.т/год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50 757,0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Добыча газа, в том числе: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1 340 483,0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Сожжено на факелах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Использование газа на собственные нужды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1 300 000,0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Передача на ЦУПН Тасбулат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40 483,0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Актас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Добыча нефти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тыс.т/год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12 949,0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Добыча газа, в том числе: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2 320 483,0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Сожжено на факелах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Использование газа на собственные нужды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150 000,0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Передача на ЦУПН Тасбулат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2 170 483,0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Общий баланс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Добыча нефти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тыс.т/год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81 117,0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Добыча газа, в том числе: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47 068 689,0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Сожжено на факелах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509 736,0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Использование газа на собственные нужды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4 250 000,0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Поставка газа сторонним предприятиям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млн.м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42 308 953,0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Сторонние организации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Принято нефти от сторонних предприятий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тыс.т/год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70 000,0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Сдача нефти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тыс.т/год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70 000,0</w:t>
            </w:r>
          </w:p>
        </w:tc>
      </w:tr>
      <w:tr w:rsidR="00E9581B" w:rsidRPr="00E9581B" w:rsidTr="00E9581B">
        <w:trPr>
          <w:trHeight w:val="227"/>
        </w:trPr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Итоговая добыча нефти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9581B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тыс.т/год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81B" w:rsidRPr="00E9581B" w:rsidRDefault="00E9581B" w:rsidP="00E9581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9581B" w:rsidRDefault="00E9581B" w:rsidP="006776EE"/>
    <w:p w:rsidR="00E9581B" w:rsidRDefault="00E9581B" w:rsidP="006776EE"/>
    <w:p w:rsidR="00E9581B" w:rsidRDefault="00E9581B" w:rsidP="006776EE"/>
    <w:p w:rsidR="005971DD" w:rsidRPr="001020C6" w:rsidRDefault="005971DD" w:rsidP="006776EE">
      <w:pPr>
        <w:sectPr w:rsidR="005971DD" w:rsidRPr="001020C6" w:rsidSect="006776EE">
          <w:pgSz w:w="11906" w:h="16838"/>
          <w:pgMar w:top="1134" w:right="851" w:bottom="851" w:left="1134" w:header="709" w:footer="499" w:gutter="0"/>
          <w:cols w:space="708"/>
          <w:docGrid w:linePitch="360"/>
        </w:sectPr>
      </w:pPr>
      <w:r w:rsidRPr="001020C6">
        <w:t xml:space="preserve">Показатели разработки месторождений приведены в таблицах </w:t>
      </w:r>
      <w:r>
        <w:t xml:space="preserve"> ниже</w:t>
      </w:r>
    </w:p>
    <w:p w:rsidR="005971DD" w:rsidRPr="001020C6" w:rsidRDefault="005971DD" w:rsidP="006776EE">
      <w:r>
        <w:lastRenderedPageBreak/>
        <w:t>М</w:t>
      </w:r>
      <w:r w:rsidRPr="001020C6">
        <w:t>есторождение Тасбулат. Характеристика основных технологических показателей разработки</w:t>
      </w:r>
    </w:p>
    <w:p w:rsidR="005971DD" w:rsidRPr="001020C6" w:rsidRDefault="005971DD" w:rsidP="006776EE">
      <w:r w:rsidRPr="001020C6">
        <w:rPr>
          <w:noProof/>
          <w:lang w:eastAsia="ru-RU"/>
        </w:rPr>
        <w:drawing>
          <wp:inline distT="0" distB="0" distL="0" distR="0" wp14:anchorId="5EC5380E" wp14:editId="4F044E4C">
            <wp:extent cx="9185436" cy="152413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85436" cy="152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1DD" w:rsidRPr="001020C6" w:rsidRDefault="005971DD" w:rsidP="006776EE"/>
    <w:p w:rsidR="005971DD" w:rsidRPr="001020C6" w:rsidRDefault="005971DD" w:rsidP="006776EE">
      <w:r w:rsidRPr="001020C6">
        <w:t>Месторождение Тасбулат. Характеристика фонда скважин</w:t>
      </w:r>
    </w:p>
    <w:p w:rsidR="005971DD" w:rsidRPr="001020C6" w:rsidRDefault="005971DD" w:rsidP="006776EE">
      <w:r w:rsidRPr="001020C6">
        <w:rPr>
          <w:noProof/>
          <w:lang w:eastAsia="ru-RU"/>
        </w:rPr>
        <w:drawing>
          <wp:inline distT="0" distB="0" distL="0" distR="0" wp14:anchorId="733C91F2" wp14:editId="75B7F708">
            <wp:extent cx="9251950" cy="1651635"/>
            <wp:effectExtent l="0" t="0" r="635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1DD" w:rsidRPr="001020C6" w:rsidRDefault="005971DD" w:rsidP="006776EE">
      <w:pPr>
        <w:rPr>
          <w:szCs w:val="20"/>
        </w:rPr>
      </w:pPr>
    </w:p>
    <w:p w:rsidR="005971DD" w:rsidRPr="001020C6" w:rsidRDefault="005971DD" w:rsidP="006776EE">
      <w:pPr>
        <w:rPr>
          <w:rFonts w:cs="Times New Roman"/>
          <w:szCs w:val="20"/>
        </w:rPr>
      </w:pPr>
      <w:r w:rsidRPr="001020C6">
        <w:t>Месторождение Туркменой. Характеристика основных показателей разработки по отбору нефти и жидкости в целом по месторождению</w:t>
      </w:r>
    </w:p>
    <w:p w:rsidR="005971DD" w:rsidRDefault="005971DD" w:rsidP="006776EE">
      <w:r w:rsidRPr="001020C6">
        <w:rPr>
          <w:noProof/>
        </w:rPr>
        <w:drawing>
          <wp:inline distT="0" distB="0" distL="0" distR="0" wp14:anchorId="2D8CF381" wp14:editId="1366709C">
            <wp:extent cx="9251950" cy="1191260"/>
            <wp:effectExtent l="0" t="0" r="635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20C6">
        <w:t xml:space="preserve"> </w:t>
      </w:r>
    </w:p>
    <w:p w:rsidR="006776EE" w:rsidRDefault="006776EE" w:rsidP="006776EE">
      <w:pPr>
        <w:sectPr w:rsidR="006776EE" w:rsidSect="001E1107">
          <w:pgSz w:w="16838" w:h="11906" w:orient="landscape"/>
          <w:pgMar w:top="851" w:right="1134" w:bottom="1701" w:left="1134" w:header="709" w:footer="498" w:gutter="0"/>
          <w:cols w:space="708"/>
          <w:docGrid w:linePitch="360"/>
        </w:sectPr>
      </w:pPr>
    </w:p>
    <w:p w:rsidR="005971DD" w:rsidRPr="001020C6" w:rsidRDefault="005971DD" w:rsidP="006776EE">
      <w:pPr>
        <w:rPr>
          <w:rFonts w:eastAsia="Arial" w:cs="Times New Roman"/>
          <w:szCs w:val="20"/>
        </w:rPr>
      </w:pPr>
      <w:r w:rsidRPr="001020C6">
        <w:lastRenderedPageBreak/>
        <w:t xml:space="preserve">Месторождение Туркменой.  Характеристика основного фонда скважин в целом по месторождению. </w:t>
      </w:r>
    </w:p>
    <w:p w:rsidR="005971DD" w:rsidRPr="001020C6" w:rsidRDefault="005971DD" w:rsidP="006776EE">
      <w:pPr>
        <w:rPr>
          <w:noProof/>
        </w:rPr>
      </w:pPr>
      <w:r w:rsidRPr="001020C6">
        <w:rPr>
          <w:noProof/>
        </w:rPr>
        <w:drawing>
          <wp:inline distT="0" distB="0" distL="0" distR="0" wp14:anchorId="5BFAD4DB" wp14:editId="40C4BAA3">
            <wp:extent cx="9251950" cy="1536700"/>
            <wp:effectExtent l="0" t="0" r="635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1DD" w:rsidRPr="001020C6" w:rsidRDefault="005971DD" w:rsidP="006776EE">
      <w:r w:rsidRPr="001020C6">
        <w:t>Месторождение Актас. Характеристика основных показателей разработки по отбору нефти и жидкости в целом по месторождению</w:t>
      </w:r>
    </w:p>
    <w:p w:rsidR="005971DD" w:rsidRPr="001020C6" w:rsidRDefault="005971DD" w:rsidP="006776EE">
      <w:r w:rsidRPr="001020C6">
        <w:rPr>
          <w:noProof/>
        </w:rPr>
        <w:drawing>
          <wp:inline distT="0" distB="0" distL="0" distR="0" wp14:anchorId="5638DA54" wp14:editId="5E1C9D8F">
            <wp:extent cx="9251950" cy="1483360"/>
            <wp:effectExtent l="0" t="0" r="635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20C6">
        <w:t xml:space="preserve"> </w:t>
      </w:r>
    </w:p>
    <w:p w:rsidR="005971DD" w:rsidRPr="001020C6" w:rsidRDefault="005971DD" w:rsidP="006776EE">
      <w:r w:rsidRPr="001020C6">
        <w:t>Месторождение Актас. Характеристика основного фонда скважин в целом по месторождению</w:t>
      </w:r>
    </w:p>
    <w:p w:rsidR="005971DD" w:rsidRPr="001020C6" w:rsidRDefault="005971DD" w:rsidP="006776EE">
      <w:pPr>
        <w:rPr>
          <w:szCs w:val="20"/>
        </w:rPr>
      </w:pPr>
      <w:r w:rsidRPr="001020C6">
        <w:rPr>
          <w:noProof/>
          <w:lang w:eastAsia="ru-RU"/>
        </w:rPr>
        <w:drawing>
          <wp:inline distT="0" distB="0" distL="0" distR="0" wp14:anchorId="0AD55703" wp14:editId="3577BC52">
            <wp:extent cx="9251950" cy="1746250"/>
            <wp:effectExtent l="0" t="0" r="635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1DD" w:rsidRPr="001020C6" w:rsidRDefault="005971DD" w:rsidP="006776EE">
      <w:pPr>
        <w:sectPr w:rsidR="005971DD" w:rsidRPr="001020C6" w:rsidSect="001E1107">
          <w:pgSz w:w="16838" w:h="11906" w:orient="landscape"/>
          <w:pgMar w:top="851" w:right="1134" w:bottom="1701" w:left="1134" w:header="709" w:footer="498" w:gutter="0"/>
          <w:cols w:space="708"/>
          <w:docGrid w:linePitch="360"/>
        </w:sectPr>
      </w:pPr>
    </w:p>
    <w:p w:rsidR="0061389F" w:rsidRPr="006776EE" w:rsidRDefault="0061389F" w:rsidP="006776EE">
      <w:pPr>
        <w:rPr>
          <w:rFonts w:cs="Arial"/>
          <w:sz w:val="22"/>
        </w:rPr>
      </w:pPr>
      <w:r w:rsidRPr="006776EE">
        <w:rPr>
          <w:rFonts w:cs="Arial"/>
          <w:sz w:val="22"/>
        </w:rPr>
        <w:lastRenderedPageBreak/>
        <w:t>В соответствии с пунктом 3 статьи 147 Кодекса РК «О недрах и недропользовании» разработаны «Программы развития переработки сырого газа месторождения Тасбулат на 2026-2028гг.» с технологическими показателями 2026 г (разрешение на сжигание газа в факелах сырого газа № kz25vpc00027163 от 27.08.2025г), «Программы развития переработки сырого газа месторождения Актас на 2024-2026гг.» (разрешение на сжигание в факелах сырого газа №KZ63VPC00027158 от 26.08.2025), «Программы развития переработки сырого газа месторождения Туркменой на 2026-2028гг.» с технологическими показателями 2026 г (разрешение на сжигание в факелах сырого газа № KZ20VPC00027156 от 26.08.2025г).</w:t>
      </w:r>
    </w:p>
    <w:p w:rsidR="00127D8A" w:rsidRPr="006776EE" w:rsidRDefault="00127D8A" w:rsidP="006776EE">
      <w:pPr>
        <w:rPr>
          <w:rFonts w:cs="Arial"/>
          <w:sz w:val="22"/>
        </w:rPr>
      </w:pPr>
      <w:r w:rsidRPr="006776EE">
        <w:rPr>
          <w:rFonts w:cs="Arial"/>
          <w:sz w:val="22"/>
        </w:rPr>
        <w:t>Количество скважин, подлежащих КРС/ПРС, в том числе ГТМ и ГРП на 202</w:t>
      </w:r>
      <w:r w:rsidR="006048A5" w:rsidRPr="006776EE">
        <w:rPr>
          <w:rFonts w:cs="Arial"/>
          <w:sz w:val="22"/>
        </w:rPr>
        <w:t>6</w:t>
      </w:r>
      <w:r w:rsidRPr="006776EE">
        <w:rPr>
          <w:rFonts w:cs="Arial"/>
          <w:sz w:val="22"/>
        </w:rPr>
        <w:t xml:space="preserve"> год </w:t>
      </w:r>
      <w:r w:rsidR="001F215F" w:rsidRPr="006776EE">
        <w:rPr>
          <w:rFonts w:cs="Arial"/>
          <w:sz w:val="22"/>
        </w:rPr>
        <w:t>приведен в таблице.</w:t>
      </w:r>
    </w:p>
    <w:p w:rsidR="00127D8A" w:rsidRPr="006776EE" w:rsidRDefault="00127D8A" w:rsidP="006776EE">
      <w:pPr>
        <w:rPr>
          <w:rFonts w:cs="Arial"/>
          <w:sz w:val="22"/>
        </w:rPr>
      </w:pPr>
      <w:r w:rsidRPr="006776EE">
        <w:rPr>
          <w:rFonts w:cs="Arial"/>
          <w:sz w:val="22"/>
        </w:rPr>
        <w:t xml:space="preserve">Виды работ и количество скважин, на которых планируется проведение работ </w:t>
      </w:r>
    </w:p>
    <w:tbl>
      <w:tblPr>
        <w:tblStyle w:val="ab"/>
        <w:tblW w:w="9209" w:type="dxa"/>
        <w:tblLayout w:type="fixed"/>
        <w:tblLook w:val="04A0" w:firstRow="1" w:lastRow="0" w:firstColumn="1" w:lastColumn="0" w:noHBand="0" w:noVBand="1"/>
      </w:tblPr>
      <w:tblGrid>
        <w:gridCol w:w="2972"/>
        <w:gridCol w:w="1985"/>
        <w:gridCol w:w="1842"/>
        <w:gridCol w:w="2410"/>
      </w:tblGrid>
      <w:tr w:rsidR="00A128F2" w:rsidRPr="00A128F2" w:rsidTr="00A128F2">
        <w:tc>
          <w:tcPr>
            <w:tcW w:w="2972" w:type="dxa"/>
            <w:vMerge w:val="restart"/>
          </w:tcPr>
          <w:p w:rsidR="00A128F2" w:rsidRPr="006776EE" w:rsidRDefault="00A128F2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Объект</w:t>
            </w:r>
          </w:p>
        </w:tc>
        <w:tc>
          <w:tcPr>
            <w:tcW w:w="6237" w:type="dxa"/>
            <w:gridSpan w:val="3"/>
          </w:tcPr>
          <w:p w:rsidR="00A128F2" w:rsidRPr="006776EE" w:rsidRDefault="00A128F2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Количество скважин, требующих проведение работ, единиц</w:t>
            </w:r>
          </w:p>
        </w:tc>
      </w:tr>
      <w:tr w:rsidR="00A128F2" w:rsidRPr="00A128F2" w:rsidTr="00A128F2">
        <w:tc>
          <w:tcPr>
            <w:tcW w:w="2972" w:type="dxa"/>
            <w:vMerge/>
          </w:tcPr>
          <w:p w:rsidR="00A128F2" w:rsidRPr="006776EE" w:rsidRDefault="00A128F2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A128F2" w:rsidRPr="006776EE" w:rsidRDefault="00A128F2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202</w:t>
            </w:r>
            <w:r w:rsidR="006048A5"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6</w:t>
            </w: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г</w:t>
            </w:r>
          </w:p>
        </w:tc>
        <w:tc>
          <w:tcPr>
            <w:tcW w:w="1842" w:type="dxa"/>
          </w:tcPr>
          <w:p w:rsidR="00A128F2" w:rsidRPr="006776EE" w:rsidRDefault="00A128F2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202</w:t>
            </w:r>
            <w:r w:rsidR="006048A5"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6</w:t>
            </w: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г</w:t>
            </w:r>
          </w:p>
        </w:tc>
        <w:tc>
          <w:tcPr>
            <w:tcW w:w="2410" w:type="dxa"/>
          </w:tcPr>
          <w:p w:rsidR="00A128F2" w:rsidRPr="006776EE" w:rsidRDefault="00A128F2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202</w:t>
            </w:r>
            <w:r w:rsidR="006048A5"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6</w:t>
            </w: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г</w:t>
            </w:r>
          </w:p>
        </w:tc>
      </w:tr>
      <w:tr w:rsidR="00A128F2" w:rsidRPr="00A128F2" w:rsidTr="00A128F2">
        <w:tc>
          <w:tcPr>
            <w:tcW w:w="2972" w:type="dxa"/>
            <w:vMerge/>
          </w:tcPr>
          <w:p w:rsidR="00A128F2" w:rsidRPr="006776EE" w:rsidRDefault="00A128F2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A128F2" w:rsidRPr="006776EE" w:rsidRDefault="00A128F2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КРС/ПРС</w:t>
            </w:r>
          </w:p>
        </w:tc>
        <w:tc>
          <w:tcPr>
            <w:tcW w:w="1842" w:type="dxa"/>
          </w:tcPr>
          <w:p w:rsidR="00A128F2" w:rsidRPr="006776EE" w:rsidRDefault="00A128F2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ГТМ</w:t>
            </w:r>
          </w:p>
        </w:tc>
        <w:tc>
          <w:tcPr>
            <w:tcW w:w="2410" w:type="dxa"/>
          </w:tcPr>
          <w:p w:rsidR="00A128F2" w:rsidRPr="006776EE" w:rsidRDefault="00A128F2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ГРП</w:t>
            </w:r>
          </w:p>
        </w:tc>
      </w:tr>
      <w:tr w:rsidR="006048A5" w:rsidRPr="00A128F2" w:rsidTr="001E1107">
        <w:tc>
          <w:tcPr>
            <w:tcW w:w="2972" w:type="dxa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м/р Тасбулат</w:t>
            </w:r>
          </w:p>
        </w:tc>
        <w:tc>
          <w:tcPr>
            <w:tcW w:w="1985" w:type="dxa"/>
            <w:vAlign w:val="center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18</w:t>
            </w:r>
          </w:p>
        </w:tc>
        <w:tc>
          <w:tcPr>
            <w:tcW w:w="1842" w:type="dxa"/>
            <w:vAlign w:val="center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vAlign w:val="center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5</w:t>
            </w:r>
          </w:p>
        </w:tc>
      </w:tr>
      <w:tr w:rsidR="006048A5" w:rsidRPr="00A128F2" w:rsidTr="001E1107">
        <w:tc>
          <w:tcPr>
            <w:tcW w:w="2972" w:type="dxa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м/р Актас</w:t>
            </w:r>
          </w:p>
        </w:tc>
        <w:tc>
          <w:tcPr>
            <w:tcW w:w="1985" w:type="dxa"/>
            <w:vAlign w:val="center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vAlign w:val="center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5</w:t>
            </w:r>
          </w:p>
        </w:tc>
      </w:tr>
      <w:tr w:rsidR="006048A5" w:rsidRPr="00A128F2" w:rsidTr="001E1107">
        <w:tc>
          <w:tcPr>
            <w:tcW w:w="2972" w:type="dxa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м/р Туркменой</w:t>
            </w:r>
          </w:p>
        </w:tc>
        <w:tc>
          <w:tcPr>
            <w:tcW w:w="1985" w:type="dxa"/>
            <w:vAlign w:val="center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30</w:t>
            </w:r>
          </w:p>
        </w:tc>
        <w:tc>
          <w:tcPr>
            <w:tcW w:w="1842" w:type="dxa"/>
            <w:vAlign w:val="center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15</w:t>
            </w:r>
          </w:p>
        </w:tc>
        <w:tc>
          <w:tcPr>
            <w:tcW w:w="2410" w:type="dxa"/>
            <w:vAlign w:val="center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5</w:t>
            </w:r>
          </w:p>
        </w:tc>
      </w:tr>
      <w:tr w:rsidR="006048A5" w:rsidRPr="00A128F2" w:rsidTr="001E1107">
        <w:tc>
          <w:tcPr>
            <w:tcW w:w="2972" w:type="dxa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ВСЕГО:</w:t>
            </w:r>
          </w:p>
        </w:tc>
        <w:tc>
          <w:tcPr>
            <w:tcW w:w="1985" w:type="dxa"/>
            <w:vAlign w:val="bottom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58</w:t>
            </w:r>
          </w:p>
        </w:tc>
        <w:tc>
          <w:tcPr>
            <w:tcW w:w="1842" w:type="dxa"/>
            <w:vAlign w:val="bottom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27</w:t>
            </w:r>
          </w:p>
        </w:tc>
        <w:tc>
          <w:tcPr>
            <w:tcW w:w="2410" w:type="dxa"/>
            <w:vAlign w:val="bottom"/>
          </w:tcPr>
          <w:p w:rsidR="006048A5" w:rsidRPr="006776EE" w:rsidRDefault="006048A5" w:rsidP="006776EE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6776EE">
              <w:rPr>
                <w:rFonts w:eastAsia="Times New Roman" w:cs="Arial"/>
                <w:color w:val="000000"/>
                <w:szCs w:val="20"/>
                <w:lang w:eastAsia="ru-RU"/>
              </w:rPr>
              <w:t>15</w:t>
            </w:r>
          </w:p>
        </w:tc>
      </w:tr>
    </w:tbl>
    <w:p w:rsidR="0057764E" w:rsidRDefault="0057764E" w:rsidP="006776EE">
      <w:pPr>
        <w:rPr>
          <w:rFonts w:cs="Times New Roman"/>
        </w:rPr>
      </w:pPr>
    </w:p>
    <w:p w:rsidR="0057764E" w:rsidRPr="0057764E" w:rsidRDefault="0057764E" w:rsidP="006776EE">
      <w:pPr>
        <w:rPr>
          <w:rFonts w:cs="Times New Roman"/>
        </w:rPr>
      </w:pPr>
      <w:r w:rsidRPr="0057764E">
        <w:rPr>
          <w:rFonts w:cs="Times New Roman"/>
        </w:rPr>
        <w:t>Количество источников выбросов загрязняющих веществ в атмосферу 2026г по ТОО «Тасбулат Ойл Корпорейшн»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5"/>
        <w:gridCol w:w="2685"/>
        <w:gridCol w:w="1420"/>
        <w:gridCol w:w="1559"/>
        <w:gridCol w:w="1413"/>
        <w:gridCol w:w="1552"/>
      </w:tblGrid>
      <w:tr w:rsidR="00924C28" w:rsidRPr="00587BA6" w:rsidTr="00CF7E3D">
        <w:trPr>
          <w:trHeight w:val="227"/>
        </w:trPr>
        <w:tc>
          <w:tcPr>
            <w:tcW w:w="3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318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Количество источников загрязнения атмосферы, единиц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2025 год (кор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р</w:t>
            </w: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ектировка)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2026 год (корректировка)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Месторождение Актас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62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организованные источники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неорганизованные источники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33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Месторождение Тасбулат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177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организованные источники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73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неорганизованные источники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104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Месторождение Туркменой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156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организованные источники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49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неорганизованные источники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107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393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395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организованные источники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151</w:t>
            </w:r>
          </w:p>
        </w:tc>
      </w:tr>
      <w:tr w:rsidR="00924C28" w:rsidRPr="00587BA6" w:rsidTr="00CF7E3D">
        <w:trPr>
          <w:trHeight w:val="227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неорганизованные источники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</w:tr>
    </w:tbl>
    <w:p w:rsidR="00AB24A0" w:rsidRDefault="00AB24A0" w:rsidP="006776EE">
      <w:pPr>
        <w:rPr>
          <w:rFonts w:cs="Times New Roman"/>
        </w:rPr>
      </w:pPr>
    </w:p>
    <w:p w:rsidR="001E1107" w:rsidRPr="001E1107" w:rsidRDefault="001E1107" w:rsidP="006776EE">
      <w:pPr>
        <w:rPr>
          <w:rFonts w:cs="Times New Roman"/>
        </w:rPr>
      </w:pPr>
      <w:r w:rsidRPr="001E1107">
        <w:rPr>
          <w:rFonts w:cs="Times New Roman"/>
        </w:rPr>
        <w:t>Сравнительный анализ выбросов загрязняющих за предыдущие 3 года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1739"/>
        <w:gridCol w:w="1465"/>
        <w:gridCol w:w="1738"/>
        <w:gridCol w:w="1465"/>
      </w:tblGrid>
      <w:tr w:rsidR="00924C28" w:rsidRPr="00587BA6" w:rsidTr="00CF7E3D">
        <w:trPr>
          <w:trHeight w:val="248"/>
        </w:trPr>
        <w:tc>
          <w:tcPr>
            <w:tcW w:w="1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17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7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2026 год Корректировка</w:t>
            </w:r>
          </w:p>
        </w:tc>
      </w:tr>
      <w:tr w:rsidR="00924C28" w:rsidRPr="00587BA6" w:rsidTr="00CF7E3D">
        <w:trPr>
          <w:trHeight w:val="248"/>
        </w:trPr>
        <w:tc>
          <w:tcPr>
            <w:tcW w:w="1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24C28" w:rsidRPr="00587BA6" w:rsidTr="00CF7E3D">
        <w:trPr>
          <w:trHeight w:val="227"/>
        </w:trPr>
        <w:tc>
          <w:tcPr>
            <w:tcW w:w="1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Максимально-разовый  выброс, г/с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Валовый выброс, т/год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Максимально-разовый  выброс, г/с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Валовый выброс, т/год</w:t>
            </w:r>
          </w:p>
        </w:tc>
      </w:tr>
      <w:tr w:rsidR="00924C28" w:rsidRPr="00587BA6" w:rsidTr="00CF7E3D">
        <w:trPr>
          <w:trHeight w:val="227"/>
        </w:trPr>
        <w:tc>
          <w:tcPr>
            <w:tcW w:w="1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Месторождение Актас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73,99154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30,05698429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73,99154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30,05698</w:t>
            </w:r>
          </w:p>
        </w:tc>
      </w:tr>
      <w:tr w:rsidR="00924C28" w:rsidRPr="00587BA6" w:rsidTr="00CF7E3D">
        <w:trPr>
          <w:trHeight w:val="227"/>
        </w:trPr>
        <w:tc>
          <w:tcPr>
            <w:tcW w:w="1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Месторождение Тасбулат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158,08426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463,5803565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158,02589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462,86548</w:t>
            </w:r>
          </w:p>
        </w:tc>
      </w:tr>
      <w:tr w:rsidR="00924C28" w:rsidRPr="00587BA6" w:rsidTr="00CF7E3D">
        <w:trPr>
          <w:trHeight w:val="227"/>
        </w:trPr>
        <w:tc>
          <w:tcPr>
            <w:tcW w:w="1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Месторождение Туркменой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81,17619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166,570904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81,17619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166,57090</w:t>
            </w:r>
          </w:p>
        </w:tc>
      </w:tr>
      <w:tr w:rsidR="00924C28" w:rsidRPr="00587BA6" w:rsidTr="00CF7E3D">
        <w:trPr>
          <w:trHeight w:val="227"/>
        </w:trPr>
        <w:tc>
          <w:tcPr>
            <w:tcW w:w="1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313,25200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660,208245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313,1936268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587BA6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7BA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659,4933656</w:t>
            </w:r>
          </w:p>
        </w:tc>
      </w:tr>
    </w:tbl>
    <w:p w:rsidR="001E1107" w:rsidRDefault="001E1107" w:rsidP="006776EE">
      <w:pPr>
        <w:rPr>
          <w:rFonts w:cs="Times New Roman"/>
        </w:rPr>
      </w:pPr>
    </w:p>
    <w:p w:rsidR="00127D8A" w:rsidRPr="00C210B1" w:rsidRDefault="00127D8A" w:rsidP="006776EE">
      <w:pPr>
        <w:rPr>
          <w:rFonts w:ascii="Times New Roman" w:hAnsi="Times New Roman" w:cs="Times New Roman"/>
          <w:highlight w:val="yellow"/>
        </w:rPr>
        <w:sectPr w:rsidR="00127D8A" w:rsidRPr="00C210B1" w:rsidSect="00734896">
          <w:pgSz w:w="11906" w:h="16838"/>
          <w:pgMar w:top="1134" w:right="851" w:bottom="1135" w:left="1701" w:header="568" w:footer="720" w:gutter="0"/>
          <w:cols w:space="708"/>
          <w:docGrid w:linePitch="360"/>
        </w:sectPr>
      </w:pPr>
    </w:p>
    <w:p w:rsidR="00D700C5" w:rsidRPr="00924C28" w:rsidRDefault="00D700C5" w:rsidP="006776EE">
      <w:pPr>
        <w:rPr>
          <w:caps/>
          <w:sz w:val="22"/>
        </w:rPr>
      </w:pPr>
      <w:r w:rsidRPr="00924C28">
        <w:rPr>
          <w:sz w:val="22"/>
        </w:rPr>
        <w:lastRenderedPageBreak/>
        <w:t>Срок действия Программы управления отходами с 01.01.2026 г. по 31.12.2026 г. и предусматривает образование в целом по компании ТОО «Тасбулат Ойл Корпорэйшн» 34 видов отходов и 18 мест накопления отходов, на которых расположены 1</w:t>
      </w:r>
      <w:r w:rsidRPr="00924C28">
        <w:rPr>
          <w:sz w:val="22"/>
          <w:lang w:val="kk-KZ"/>
        </w:rPr>
        <w:t>27</w:t>
      </w:r>
      <w:r w:rsidRPr="00924C28">
        <w:rPr>
          <w:sz w:val="22"/>
        </w:rPr>
        <w:t xml:space="preserve"> объектов накопления (размещение на накопления (подрядчиков)  не предусматриваются настоящим ПУО, так так СМР и бурение скважин на месторождении Актас, Тасбулат, Туркменой не планируются). Суммарное количество отходов в 2026 году приведено ниже.</w:t>
      </w:r>
    </w:p>
    <w:p w:rsidR="007060AD" w:rsidRPr="00924C28" w:rsidRDefault="007060AD" w:rsidP="006776EE">
      <w:pPr>
        <w:rPr>
          <w:color w:val="000000"/>
          <w:sz w:val="22"/>
        </w:rPr>
      </w:pPr>
      <w:r w:rsidRPr="00924C28">
        <w:rPr>
          <w:color w:val="000000"/>
          <w:sz w:val="22"/>
        </w:rPr>
        <w:t>Целевые показатели образования отходов по ТОО «Тасбулат</w:t>
      </w:r>
      <w:r w:rsidR="006776EE" w:rsidRPr="00924C28">
        <w:rPr>
          <w:color w:val="000000"/>
          <w:sz w:val="22"/>
        </w:rPr>
        <w:t xml:space="preserve"> </w:t>
      </w:r>
      <w:r w:rsidRPr="00924C28">
        <w:rPr>
          <w:color w:val="000000"/>
          <w:sz w:val="22"/>
        </w:rPr>
        <w:t>Ойл</w:t>
      </w:r>
      <w:r w:rsidR="006776EE" w:rsidRPr="00924C28">
        <w:rPr>
          <w:color w:val="000000"/>
          <w:sz w:val="22"/>
        </w:rPr>
        <w:t xml:space="preserve"> </w:t>
      </w:r>
      <w:r w:rsidRPr="00924C28">
        <w:rPr>
          <w:color w:val="000000"/>
          <w:sz w:val="22"/>
        </w:rPr>
        <w:t>Корпорэйшн» приведено ниже.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1419"/>
        <w:gridCol w:w="3820"/>
      </w:tblGrid>
      <w:tr w:rsidR="00924C28" w:rsidRPr="00924C28" w:rsidTr="00924C28">
        <w:trPr>
          <w:trHeight w:val="227"/>
        </w:trPr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  <w:t>Наименование отхода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  <w:t>Код отхода</w:t>
            </w:r>
          </w:p>
        </w:tc>
        <w:tc>
          <w:tcPr>
            <w:tcW w:w="20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szCs w:val="20"/>
                <w:lang w:eastAsia="ru-RU"/>
              </w:rPr>
              <w:t>Лимит накопление отходов прои</w:t>
            </w:r>
            <w:r>
              <w:rPr>
                <w:rFonts w:eastAsia="Times New Roman" w:cs="Arial"/>
                <w:b/>
                <w:bCs/>
                <w:szCs w:val="20"/>
                <w:lang w:eastAsia="ru-RU"/>
              </w:rPr>
              <w:t>з</w:t>
            </w:r>
            <w:r w:rsidRPr="00924C28">
              <w:rPr>
                <w:rFonts w:eastAsia="Times New Roman" w:cs="Arial"/>
                <w:b/>
                <w:bCs/>
                <w:szCs w:val="20"/>
                <w:lang w:eastAsia="ru-RU"/>
              </w:rPr>
              <w:t>водства и потребления, т/год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  <w:t>Всего, из них: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  <w:t>2460,32549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  <w:t>опасный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  <w:t>1744,38262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  <w:t>неопасный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  <w:t>715,94287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color w:val="000000"/>
                <w:sz w:val="22"/>
                <w:lang w:eastAsia="ru-RU"/>
              </w:rPr>
              <w:t>Опасные отходы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Буровой шлам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01 05 05*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Изношенная спецодежда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15 02 02*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0,96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Медицинские отходы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18 01 09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0,064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Нефтезагрязненный грунт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01 05 05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104,4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Нефтешлам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01 05 05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600,626627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Отработанные аккумуляторные батареи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16 06 01*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0,4116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Отработанные воздушные фильтры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16 01 07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0,075592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Отработанные люминесцентные лампы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20 01 02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0,01284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Отработанные масла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13 02 06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22,320702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Отработанные промасляные фильтры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16 01 07*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0,206463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Отработанные топливные фильтры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16 01 07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0,024936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Отработанный буровой раствор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01 05 05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Отход проппанта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07 01 01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300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Отходы ВУС (ксантовая смола)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05 01 99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4,5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Отходы замазученной пленки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15 02 02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0,174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Отходы обратной промывки скважин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01 05 06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588,004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Отходы пластмассы (крышки</w:t>
            </w: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br/>
              <w:t>труб НКТ и пр)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19 12 04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15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Отходы химреагентов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16 05 06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8,44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Списанные органические</w:t>
            </w:r>
            <w:r w:rsidRPr="00924C28">
              <w:rPr>
                <w:rFonts w:eastAsia="Times New Roman" w:cs="Arial"/>
                <w:szCs w:val="20"/>
                <w:lang w:eastAsia="ru-RU"/>
              </w:rPr>
              <w:br/>
              <w:t>вещества лаборатории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16 05 07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0,09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Списанные неорганические</w:t>
            </w:r>
            <w:r w:rsidRPr="00924C28">
              <w:rPr>
                <w:rFonts w:eastAsia="Times New Roman" w:cs="Arial"/>
                <w:szCs w:val="20"/>
                <w:lang w:eastAsia="ru-RU"/>
              </w:rPr>
              <w:br/>
              <w:t>вещества лаборатории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16 05 08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0,014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Отходы цементного раствора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10 13 14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bookmarkStart w:id="7" w:name="_GoBack"/>
            <w:bookmarkEnd w:id="7"/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63,8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Промасленная ветошь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15 02 02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5,461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Тара из-под ЛКМ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15 01 10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1,603815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Тара использованная (бочки металлические спрессованные)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15 01 11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10,699975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Тара использованная (бочки/мешки пластиковые)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15 01 10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7,493073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Асфальта-смолистые</w:t>
            </w:r>
            <w:r w:rsidRPr="00924C28">
              <w:rPr>
                <w:rFonts w:eastAsia="Times New Roman" w:cs="Arial"/>
                <w:szCs w:val="20"/>
                <w:lang w:eastAsia="ru-RU"/>
              </w:rPr>
              <w:br/>
              <w:t>парафиновые отложения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05 01 17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10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color w:val="000000"/>
                <w:sz w:val="22"/>
                <w:lang w:eastAsia="ru-RU"/>
              </w:rPr>
              <w:t>Неопасные отходы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Абразивный песок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17 09 04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100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Отработанные светодиодные LED лампы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20 01 36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0,02909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Отходы деревянных поддонов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17 02 01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3,5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Отходы оргтехники (электронный лом)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20 01 36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1,2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Пластиковая тара из-под</w:t>
            </w:r>
            <w:r w:rsidRPr="00924C28">
              <w:rPr>
                <w:rFonts w:eastAsia="Times New Roman" w:cs="Arial"/>
                <w:szCs w:val="20"/>
                <w:lang w:eastAsia="ru-RU"/>
              </w:rPr>
              <w:br/>
              <w:t>питьевой воды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15 01 02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8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Отходы резины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19 12 14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0,1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Строительные отходы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17 09 04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40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Отработанные автомобильные шины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16 01 03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18,385528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Металлолом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16 01 17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358,525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Огарки сварочных электродов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12 01 13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0,021225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lastRenderedPageBreak/>
              <w:t>Стеклобой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17 02 02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0,6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Осадок пластовой воды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19 09 99</w:t>
            </w:r>
          </w:p>
        </w:tc>
        <w:tc>
          <w:tcPr>
            <w:tcW w:w="2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49,95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Пищевые отходы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20 01 08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38,106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Коммунальные отходы (бумага, картон)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20 01 01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27,214411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Коммунальные отходы (ТБО)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20 03 01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45,311616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Коммунальные отходы (СМЕТ)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szCs w:val="20"/>
                <w:lang w:eastAsia="ru-RU"/>
              </w:rPr>
              <w:t>21 03 99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ru-RU"/>
              </w:rPr>
            </w:pPr>
            <w:r w:rsidRPr="00924C28">
              <w:rPr>
                <w:rFonts w:eastAsia="Times New Roman" w:cs="Arial"/>
                <w:color w:val="000000"/>
                <w:szCs w:val="20"/>
                <w:lang w:eastAsia="ru-RU"/>
              </w:rPr>
              <w:t>25</w:t>
            </w:r>
          </w:p>
        </w:tc>
      </w:tr>
      <w:tr w:rsidR="00924C28" w:rsidRPr="00924C28" w:rsidTr="00924C28">
        <w:trPr>
          <w:trHeight w:val="227"/>
        </w:trPr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szCs w:val="20"/>
                <w:lang w:eastAsia="ru-RU"/>
              </w:rPr>
              <w:t>ИТОГО: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28" w:rsidRPr="00924C28" w:rsidRDefault="00924C28" w:rsidP="00924C28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szCs w:val="20"/>
                <w:lang w:eastAsia="ru-RU"/>
              </w:rPr>
            </w:pPr>
            <w:r w:rsidRPr="00924C28">
              <w:rPr>
                <w:rFonts w:eastAsia="Times New Roman" w:cs="Arial"/>
                <w:b/>
                <w:bCs/>
                <w:szCs w:val="20"/>
                <w:lang w:eastAsia="ru-RU"/>
              </w:rPr>
              <w:t>2460,325493</w:t>
            </w:r>
          </w:p>
        </w:tc>
      </w:tr>
    </w:tbl>
    <w:p w:rsidR="00C8591C" w:rsidRDefault="00C8591C" w:rsidP="006776EE">
      <w:pPr>
        <w:rPr>
          <w:color w:val="000000"/>
          <w:highlight w:val="yellow"/>
        </w:rPr>
      </w:pPr>
    </w:p>
    <w:p w:rsidR="005312CB" w:rsidRPr="002942ED" w:rsidRDefault="005312CB" w:rsidP="006776EE">
      <w:pPr>
        <w:rPr>
          <w:rFonts w:cs="Times New Roman"/>
        </w:rPr>
      </w:pPr>
      <w:r w:rsidRPr="002942ED">
        <w:rPr>
          <w:rFonts w:cs="Times New Roman"/>
        </w:rPr>
        <w:t xml:space="preserve">На ЦУПН осуществляется подготовка нефти с месторождений Тасбулат и поступивший на ЦУПН по трубопроводу флюид с месторождений Актас и Туркменой и воды для закачки в пласт. </w:t>
      </w:r>
    </w:p>
    <w:p w:rsidR="005312CB" w:rsidRPr="002942ED" w:rsidRDefault="005312CB" w:rsidP="006776EE">
      <w:pPr>
        <w:rPr>
          <w:rFonts w:cs="Times New Roman"/>
        </w:rPr>
      </w:pPr>
      <w:r w:rsidRPr="002942ED">
        <w:rPr>
          <w:rFonts w:cs="Times New Roman"/>
        </w:rPr>
        <w:t xml:space="preserve">Производственные сточные воды, образуются на месторождении Тасбулат вследствие использования волжской воды технической (пресной) воды в технологических циклах добычи и подготовки нефти на центральный узел подготовки нефти (ЦУПН). </w:t>
      </w:r>
    </w:p>
    <w:p w:rsidR="00913655" w:rsidRDefault="005312CB" w:rsidP="006776EE">
      <w:pPr>
        <w:rPr>
          <w:rFonts w:cs="Times New Roman"/>
        </w:rPr>
      </w:pPr>
      <w:r w:rsidRPr="002942ED">
        <w:rPr>
          <w:rFonts w:cs="Times New Roman"/>
        </w:rPr>
        <w:t>Производственные сточные воды, направляемые по системе ППД для закачки в недра, образуются при использовании волжской воды для обессоливания нефти совместно с пластовыми водами. Состав производственных сточных вод близок к пластовым водам.</w:t>
      </w:r>
    </w:p>
    <w:p w:rsidR="002942ED" w:rsidRDefault="002942ED" w:rsidP="006776EE">
      <w:pPr>
        <w:rPr>
          <w:rFonts w:cs="Times New Roman"/>
        </w:rPr>
      </w:pPr>
      <w:r>
        <w:rPr>
          <w:rFonts w:cs="Times New Roman"/>
        </w:rPr>
        <w:t>В Проекте НДС учтены проектные решения РП «</w:t>
      </w:r>
      <w:r w:rsidRPr="002942ED">
        <w:rPr>
          <w:rFonts w:cs="Times New Roman"/>
        </w:rPr>
        <w:t>ЦУПН. Система подготовки пластовой воды. Модернизация. Месторождение Тасбулат. Мангистауская область</w:t>
      </w:r>
      <w:r>
        <w:rPr>
          <w:rFonts w:cs="Times New Roman"/>
        </w:rPr>
        <w:t>»</w:t>
      </w:r>
    </w:p>
    <w:p w:rsidR="005312CB" w:rsidRPr="00E9581B" w:rsidRDefault="005312CB" w:rsidP="006776EE">
      <w:pPr>
        <w:rPr>
          <w:rFonts w:eastAsia="Times New Roman" w:cs="Arial"/>
          <w:color w:val="000000"/>
          <w:lang w:eastAsia="ru-RU"/>
        </w:rPr>
      </w:pPr>
      <w:r w:rsidRPr="00E9581B">
        <w:rPr>
          <w:rFonts w:eastAsia="Times New Roman" w:cs="Arial"/>
          <w:color w:val="000000"/>
          <w:lang w:eastAsia="ru-RU"/>
        </w:rPr>
        <w:t>Инвентаризация выпусков сточных вод ТОО «Табулат Ойл Корпорэйшн»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869"/>
        <w:gridCol w:w="1818"/>
        <w:gridCol w:w="2211"/>
        <w:gridCol w:w="1936"/>
        <w:gridCol w:w="2511"/>
      </w:tblGrid>
      <w:tr w:rsidR="00A17816" w:rsidRPr="006776EE" w:rsidTr="00A17816">
        <w:tc>
          <w:tcPr>
            <w:tcW w:w="869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bCs/>
                <w:szCs w:val="20"/>
              </w:rPr>
            </w:pPr>
            <w:r w:rsidRPr="006776EE">
              <w:rPr>
                <w:rFonts w:cs="Arial"/>
                <w:bCs/>
                <w:szCs w:val="20"/>
              </w:rPr>
              <w:t>год</w:t>
            </w:r>
          </w:p>
        </w:tc>
        <w:tc>
          <w:tcPr>
            <w:tcW w:w="1818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bCs/>
                <w:szCs w:val="20"/>
              </w:rPr>
            </w:pPr>
            <w:r w:rsidRPr="006776EE">
              <w:rPr>
                <w:rFonts w:cs="Arial"/>
                <w:bCs/>
                <w:szCs w:val="20"/>
              </w:rPr>
              <w:t>Наименование выпуска</w:t>
            </w:r>
          </w:p>
        </w:tc>
        <w:tc>
          <w:tcPr>
            <w:tcW w:w="2211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bCs/>
                <w:szCs w:val="20"/>
              </w:rPr>
            </w:pPr>
            <w:r w:rsidRPr="006776EE">
              <w:rPr>
                <w:rFonts w:cs="Arial"/>
                <w:bCs/>
                <w:szCs w:val="20"/>
              </w:rPr>
              <w:t>Наличие и метод очистки перед сбросом</w:t>
            </w:r>
          </w:p>
        </w:tc>
        <w:tc>
          <w:tcPr>
            <w:tcW w:w="1936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bCs/>
                <w:szCs w:val="20"/>
              </w:rPr>
            </w:pPr>
            <w:r w:rsidRPr="006776EE">
              <w:rPr>
                <w:rFonts w:cs="Arial"/>
                <w:bCs/>
                <w:szCs w:val="20"/>
              </w:rPr>
              <w:t>Объем отводимых сточных вод, тыс. м³/год</w:t>
            </w:r>
          </w:p>
        </w:tc>
        <w:tc>
          <w:tcPr>
            <w:tcW w:w="2511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bCs/>
                <w:szCs w:val="20"/>
              </w:rPr>
            </w:pPr>
            <w:r w:rsidRPr="006776EE">
              <w:rPr>
                <w:rFonts w:cs="Arial"/>
                <w:bCs/>
                <w:szCs w:val="20"/>
              </w:rPr>
              <w:t>НДС загрязняющих веществ, отводимых со сточными водами т/год</w:t>
            </w:r>
          </w:p>
        </w:tc>
      </w:tr>
      <w:tr w:rsidR="00A17816" w:rsidRPr="006776EE" w:rsidTr="00A17816">
        <w:tc>
          <w:tcPr>
            <w:tcW w:w="869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2023</w:t>
            </w:r>
          </w:p>
        </w:tc>
        <w:tc>
          <w:tcPr>
            <w:tcW w:w="1818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Система ППД месторождения Тасбулат</w:t>
            </w:r>
          </w:p>
        </w:tc>
        <w:tc>
          <w:tcPr>
            <w:tcW w:w="2211" w:type="dxa"/>
          </w:tcPr>
          <w:p w:rsidR="00A17816" w:rsidRPr="006776EE" w:rsidDel="00EE1E4C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Блок подготовки воды БПВ 2.00.00.00</w:t>
            </w:r>
          </w:p>
        </w:tc>
        <w:tc>
          <w:tcPr>
            <w:tcW w:w="1936" w:type="dxa"/>
          </w:tcPr>
          <w:p w:rsidR="00A17816" w:rsidRPr="006776EE" w:rsidDel="00EE1E4C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18.25</w:t>
            </w:r>
          </w:p>
        </w:tc>
        <w:tc>
          <w:tcPr>
            <w:tcW w:w="2511" w:type="dxa"/>
          </w:tcPr>
          <w:p w:rsidR="00A17816" w:rsidRPr="006776EE" w:rsidDel="00EE1E4C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1641,6529</w:t>
            </w:r>
          </w:p>
        </w:tc>
      </w:tr>
      <w:tr w:rsidR="00A17816" w:rsidRPr="006776EE" w:rsidTr="00A17816">
        <w:tc>
          <w:tcPr>
            <w:tcW w:w="869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2024</w:t>
            </w:r>
          </w:p>
        </w:tc>
        <w:tc>
          <w:tcPr>
            <w:tcW w:w="1818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Система ППД месторождения Тасбулат</w:t>
            </w:r>
          </w:p>
        </w:tc>
        <w:tc>
          <w:tcPr>
            <w:tcW w:w="2211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Блок подготовки воды БПВ 2.00.00.00</w:t>
            </w:r>
          </w:p>
        </w:tc>
        <w:tc>
          <w:tcPr>
            <w:tcW w:w="1936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18,30</w:t>
            </w:r>
          </w:p>
        </w:tc>
        <w:tc>
          <w:tcPr>
            <w:tcW w:w="2511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1619.098</w:t>
            </w:r>
          </w:p>
        </w:tc>
      </w:tr>
      <w:tr w:rsidR="00A17816" w:rsidRPr="006776EE" w:rsidTr="00A17816">
        <w:tc>
          <w:tcPr>
            <w:tcW w:w="869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 xml:space="preserve">2025 </w:t>
            </w:r>
          </w:p>
        </w:tc>
        <w:tc>
          <w:tcPr>
            <w:tcW w:w="1818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Система ППД месторождения Тасбулат</w:t>
            </w:r>
          </w:p>
        </w:tc>
        <w:tc>
          <w:tcPr>
            <w:tcW w:w="2211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Блок подготовки воды БПВ 2.00.00.00</w:t>
            </w:r>
          </w:p>
        </w:tc>
        <w:tc>
          <w:tcPr>
            <w:tcW w:w="1936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18,25</w:t>
            </w:r>
          </w:p>
        </w:tc>
        <w:tc>
          <w:tcPr>
            <w:tcW w:w="2511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1614.778</w:t>
            </w:r>
          </w:p>
        </w:tc>
      </w:tr>
      <w:tr w:rsidR="00A17816" w:rsidRPr="006776EE" w:rsidTr="00A17816">
        <w:tc>
          <w:tcPr>
            <w:tcW w:w="869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 xml:space="preserve">2026 </w:t>
            </w:r>
          </w:p>
        </w:tc>
        <w:tc>
          <w:tcPr>
            <w:tcW w:w="1818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Система ППД месторождения Тасбулат</w:t>
            </w:r>
          </w:p>
        </w:tc>
        <w:tc>
          <w:tcPr>
            <w:tcW w:w="2211" w:type="dxa"/>
          </w:tcPr>
          <w:p w:rsidR="00A17816" w:rsidRPr="006776EE" w:rsidRDefault="00A17816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 w:rsidRPr="006776EE">
              <w:rPr>
                <w:rFonts w:cs="Arial"/>
                <w:szCs w:val="20"/>
              </w:rPr>
              <w:t>Блок подготовки воды БПВ 2.00.00.00</w:t>
            </w:r>
          </w:p>
        </w:tc>
        <w:tc>
          <w:tcPr>
            <w:tcW w:w="1936" w:type="dxa"/>
          </w:tcPr>
          <w:p w:rsidR="00A17816" w:rsidRPr="00BE56C2" w:rsidRDefault="00BE56C2" w:rsidP="006776EE">
            <w:pPr>
              <w:spacing w:line="240" w:lineRule="auto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20000,00</w:t>
            </w:r>
          </w:p>
        </w:tc>
        <w:tc>
          <w:tcPr>
            <w:tcW w:w="2511" w:type="dxa"/>
          </w:tcPr>
          <w:p w:rsidR="00A17816" w:rsidRPr="006776EE" w:rsidRDefault="00BE56C2" w:rsidP="006776EE">
            <w:pPr>
              <w:spacing w:line="240" w:lineRule="auto"/>
              <w:ind w:firstLine="0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>20389,7</w:t>
            </w:r>
          </w:p>
        </w:tc>
      </w:tr>
    </w:tbl>
    <w:p w:rsidR="006776EE" w:rsidRDefault="006776EE" w:rsidP="006776EE"/>
    <w:p w:rsidR="001F215F" w:rsidRPr="00D52B41" w:rsidRDefault="001F215F" w:rsidP="006776EE">
      <w:r w:rsidRPr="00D52B41">
        <w:t xml:space="preserve">Основные природоохранные мероприятия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9744D9" w:rsidP="006776EE">
            <w:pPr>
              <w:spacing w:line="240" w:lineRule="auto"/>
              <w:ind w:firstLine="0"/>
              <w:rPr>
                <w:rFonts w:eastAsia="Times New Roman" w:cs="Arial"/>
                <w:bCs/>
                <w:lang w:eastAsia="ru-RU"/>
              </w:rPr>
            </w:pPr>
            <w:r w:rsidRPr="006776EE">
              <w:rPr>
                <w:rFonts w:eastAsia="Times New Roman" w:cs="Arial"/>
                <w:bCs/>
                <w:lang w:eastAsia="ru-RU"/>
              </w:rPr>
              <w:t>Оптимизация работы оборудования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Инструментальный контроль выбросов загрязняющих веществ в атмосферу непосредственно  на границе СЗЗ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Инструментальный контроль выбросов загрязняющих веществ в атмосферу непосредственно на источниках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Организация и проведение мониторинга грунтовых вод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Повторное использование производственных сточных вод, образующихся при использовании волжской воды для обессоливания нефти, для закачки в недра, обеспечивается очистка пластовой и сточной воды на ЦУПН от механических примесей (взвешенных веществ) и нефтепродуктов посредством ввода в эксплуатацию Блока подготовки воды БПВ 2.00.00.000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Экологический мониторинг почвы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Проведение экологического мониторинга сточных вод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Мониторинг за состоянием флоры и фауны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Раздельный сбор и своевременный вывоз отходов производства и потребления на переработку и удаление на основании заключенных договоров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 xml:space="preserve">Передача на вторичное использование отходов 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Проведение работ по изучению рынка и поиска подрядчика для передачи на рециркуляцию отработанного масла, что позволит увеличить долю повторного использования отходов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Обучение сотрудников важности сокращения отходов, а также о том, как разделять и правильно утилизировать бытовые отходы (проведение образовательных сессий), организация информационных стендов с практическими советами по уменьшению отходов</w:t>
            </w:r>
          </w:p>
        </w:tc>
      </w:tr>
      <w:tr w:rsidR="001F215F" w:rsidRPr="006776EE" w:rsidTr="009744D9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6776EE" w:rsidRDefault="001F215F" w:rsidP="006776EE">
            <w:pPr>
              <w:spacing w:line="240" w:lineRule="auto"/>
              <w:ind w:firstLine="0"/>
              <w:rPr>
                <w:rFonts w:eastAsia="Times New Roman" w:cs="Arial"/>
                <w:lang w:eastAsia="ru-RU"/>
              </w:rPr>
            </w:pPr>
            <w:r w:rsidRPr="006776EE">
              <w:rPr>
                <w:rFonts w:eastAsia="Times New Roman" w:cs="Arial"/>
                <w:lang w:eastAsia="ru-RU"/>
              </w:rPr>
              <w:t>Разработка проектно-нормативной документации</w:t>
            </w:r>
          </w:p>
        </w:tc>
      </w:tr>
    </w:tbl>
    <w:p w:rsidR="00E26AB1" w:rsidRPr="001F215F" w:rsidRDefault="00E26AB1" w:rsidP="00E9581B">
      <w:pPr>
        <w:rPr>
          <w:rFonts w:ascii="Times New Roman" w:hAnsi="Times New Roman" w:cs="Times New Roman"/>
        </w:rPr>
      </w:pPr>
    </w:p>
    <w:sectPr w:rsidR="00E26AB1" w:rsidRPr="001F2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05E" w:rsidRDefault="0071505E" w:rsidP="00127D8A">
      <w:pPr>
        <w:spacing w:line="240" w:lineRule="auto"/>
      </w:pPr>
      <w:r>
        <w:separator/>
      </w:r>
    </w:p>
  </w:endnote>
  <w:endnote w:type="continuationSeparator" w:id="0">
    <w:p w:rsidR="0071505E" w:rsidRDefault="0071505E" w:rsidP="00127D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05E" w:rsidRDefault="0071505E" w:rsidP="00127D8A">
      <w:pPr>
        <w:spacing w:line="240" w:lineRule="auto"/>
      </w:pPr>
      <w:r>
        <w:separator/>
      </w:r>
    </w:p>
  </w:footnote>
  <w:footnote w:type="continuationSeparator" w:id="0">
    <w:p w:rsidR="0071505E" w:rsidRDefault="0071505E" w:rsidP="00127D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610E0"/>
    <w:multiLevelType w:val="hybridMultilevel"/>
    <w:tmpl w:val="A426ED12"/>
    <w:lvl w:ilvl="0" w:tplc="6E46E336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D5BBA"/>
    <w:multiLevelType w:val="hybridMultilevel"/>
    <w:tmpl w:val="7B7A55F2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D43D1"/>
    <w:multiLevelType w:val="multilevel"/>
    <w:tmpl w:val="4E081C8E"/>
    <w:lvl w:ilvl="0">
      <w:start w:val="1"/>
      <w:numFmt w:val="decimal"/>
      <w:pStyle w:val="10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/>
        <w:i w:val="0"/>
        <w:caps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pStyle w:val="Optimum2"/>
      <w:lvlText w:val="%1.%2.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/>
        <w:caps/>
        <w:dstrike w:val="0"/>
        <w:sz w:val="24"/>
        <w:szCs w:val="22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3">
      <w:start w:val="1"/>
      <w:numFmt w:val="decimal"/>
      <w:pStyle w:val="1111"/>
      <w:lvlText w:val="%1.%2.%3.%4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dstrike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309"/>
        </w:tabs>
        <w:ind w:left="4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9"/>
        </w:tabs>
        <w:ind w:left="45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89"/>
        </w:tabs>
        <w:ind w:left="50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9"/>
        </w:tabs>
        <w:ind w:left="55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9"/>
        </w:tabs>
        <w:ind w:left="6109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9D"/>
    <w:rsid w:val="00127D8A"/>
    <w:rsid w:val="001A4D24"/>
    <w:rsid w:val="001E1107"/>
    <w:rsid w:val="001F215F"/>
    <w:rsid w:val="002637D0"/>
    <w:rsid w:val="002942ED"/>
    <w:rsid w:val="003623AC"/>
    <w:rsid w:val="003B1392"/>
    <w:rsid w:val="00430B9F"/>
    <w:rsid w:val="005312CB"/>
    <w:rsid w:val="00556A84"/>
    <w:rsid w:val="0057764E"/>
    <w:rsid w:val="005971DD"/>
    <w:rsid w:val="006048A5"/>
    <w:rsid w:val="0061389F"/>
    <w:rsid w:val="006776EE"/>
    <w:rsid w:val="00695BA5"/>
    <w:rsid w:val="00696FC3"/>
    <w:rsid w:val="006B1C21"/>
    <w:rsid w:val="007060AD"/>
    <w:rsid w:val="0071505E"/>
    <w:rsid w:val="00734896"/>
    <w:rsid w:val="007C329D"/>
    <w:rsid w:val="008A0D33"/>
    <w:rsid w:val="008A4598"/>
    <w:rsid w:val="008E3C17"/>
    <w:rsid w:val="008F7D5A"/>
    <w:rsid w:val="00913655"/>
    <w:rsid w:val="00924C28"/>
    <w:rsid w:val="00954E11"/>
    <w:rsid w:val="009744D9"/>
    <w:rsid w:val="00A128F2"/>
    <w:rsid w:val="00A17816"/>
    <w:rsid w:val="00A31D07"/>
    <w:rsid w:val="00AB24A0"/>
    <w:rsid w:val="00BE56C2"/>
    <w:rsid w:val="00C210B1"/>
    <w:rsid w:val="00C8591C"/>
    <w:rsid w:val="00CA137D"/>
    <w:rsid w:val="00D52B41"/>
    <w:rsid w:val="00D700C5"/>
    <w:rsid w:val="00DF1A6C"/>
    <w:rsid w:val="00E022CC"/>
    <w:rsid w:val="00E26AB1"/>
    <w:rsid w:val="00E9249D"/>
    <w:rsid w:val="00E9581B"/>
    <w:rsid w:val="00F7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8E399-B776-44B7-B8A5-E2EACD54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6EE"/>
    <w:pPr>
      <w:spacing w:after="0" w:line="288" w:lineRule="auto"/>
      <w:ind w:firstLine="737"/>
      <w:jc w:val="both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12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27D8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7D8A"/>
  </w:style>
  <w:style w:type="paragraph" w:styleId="a5">
    <w:name w:val="footer"/>
    <w:basedOn w:val="a"/>
    <w:link w:val="a6"/>
    <w:uiPriority w:val="99"/>
    <w:unhideWhenUsed/>
    <w:rsid w:val="00127D8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7D8A"/>
  </w:style>
  <w:style w:type="paragraph" w:customStyle="1" w:styleId="a7">
    <w:name w:val="ОГЛАВЛЕНИЕ"/>
    <w:basedOn w:val="a"/>
    <w:link w:val="a8"/>
    <w:qFormat/>
    <w:rsid w:val="00127D8A"/>
    <w:pPr>
      <w:keepNext/>
      <w:keepLines/>
      <w:spacing w:line="240" w:lineRule="auto"/>
      <w:jc w:val="center"/>
    </w:pPr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character" w:customStyle="1" w:styleId="a8">
    <w:name w:val="ОГЛАВЛЕНИЕ Знак"/>
    <w:basedOn w:val="a0"/>
    <w:link w:val="a7"/>
    <w:rsid w:val="00127D8A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customStyle="1" w:styleId="1">
    <w:name w:val="1 Текст"/>
    <w:basedOn w:val="a"/>
    <w:link w:val="11"/>
    <w:autoRedefine/>
    <w:qFormat/>
    <w:rsid w:val="00127D8A"/>
    <w:pPr>
      <w:keepNext/>
      <w:keepLines/>
      <w:widowControl w:val="0"/>
      <w:numPr>
        <w:numId w:val="1"/>
      </w:numPr>
      <w:tabs>
        <w:tab w:val="left" w:pos="2625"/>
      </w:tabs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1 Текст Знак"/>
    <w:basedOn w:val="a0"/>
    <w:link w:val="1"/>
    <w:rsid w:val="00127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№ таблицы"/>
    <w:basedOn w:val="a"/>
    <w:link w:val="aa"/>
    <w:autoRedefine/>
    <w:qFormat/>
    <w:rsid w:val="00127D8A"/>
    <w:pPr>
      <w:keepNext/>
      <w:keepLines/>
      <w:spacing w:before="120" w:after="80" w:line="240" w:lineRule="auto"/>
      <w:outlineLvl w:val="4"/>
    </w:pPr>
    <w:rPr>
      <w:rFonts w:ascii="Times New Roman" w:eastAsia="Times New Roman" w:hAnsi="Times New Roman" w:cs="Arial"/>
      <w:color w:val="000000"/>
      <w:sz w:val="24"/>
      <w:szCs w:val="24"/>
      <w:lang w:eastAsia="ru-RU"/>
    </w:rPr>
  </w:style>
  <w:style w:type="character" w:customStyle="1" w:styleId="aa">
    <w:name w:val="№ таблицы Знак"/>
    <w:link w:val="a9"/>
    <w:rsid w:val="00127D8A"/>
    <w:rPr>
      <w:rFonts w:ascii="Times New Roman" w:eastAsia="Times New Roman" w:hAnsi="Times New Roman" w:cs="Arial"/>
      <w:color w:val="000000"/>
      <w:sz w:val="24"/>
      <w:szCs w:val="24"/>
      <w:lang w:eastAsia="ru-RU"/>
    </w:rPr>
  </w:style>
  <w:style w:type="paragraph" w:customStyle="1" w:styleId="10">
    <w:name w:val="1 РАЗДЕЛ"/>
    <w:basedOn w:val="a"/>
    <w:next w:val="1"/>
    <w:autoRedefine/>
    <w:qFormat/>
    <w:rsid w:val="00127D8A"/>
    <w:pPr>
      <w:keepNext/>
      <w:keepLines/>
      <w:numPr>
        <w:numId w:val="2"/>
      </w:numPr>
      <w:spacing w:before="360" w:after="120" w:line="240" w:lineRule="auto"/>
      <w:outlineLvl w:val="0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customStyle="1" w:styleId="111">
    <w:name w:val="1.1.1 Подпункт"/>
    <w:basedOn w:val="a"/>
    <w:autoRedefine/>
    <w:qFormat/>
    <w:rsid w:val="00127D8A"/>
    <w:pPr>
      <w:keepNext/>
      <w:keepLines/>
      <w:numPr>
        <w:ilvl w:val="2"/>
        <w:numId w:val="2"/>
      </w:numPr>
      <w:spacing w:before="360" w:after="120" w:line="240" w:lineRule="auto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customStyle="1" w:styleId="1111">
    <w:name w:val="1.1.1.1 Подподпункт"/>
    <w:basedOn w:val="a"/>
    <w:autoRedefine/>
    <w:qFormat/>
    <w:rsid w:val="00127D8A"/>
    <w:pPr>
      <w:keepNext/>
      <w:keepLines/>
      <w:numPr>
        <w:ilvl w:val="3"/>
        <w:numId w:val="2"/>
      </w:numPr>
      <w:spacing w:line="360" w:lineRule="auto"/>
      <w:outlineLvl w:val="3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customStyle="1" w:styleId="Optimum2">
    <w:name w:val="Optimum2"/>
    <w:basedOn w:val="a"/>
    <w:autoRedefine/>
    <w:qFormat/>
    <w:rsid w:val="00127D8A"/>
    <w:pPr>
      <w:keepNext/>
      <w:keepLines/>
      <w:numPr>
        <w:ilvl w:val="1"/>
        <w:numId w:val="2"/>
      </w:numPr>
      <w:spacing w:before="360" w:line="240" w:lineRule="auto"/>
      <w:outlineLvl w:val="1"/>
    </w:pPr>
    <w:rPr>
      <w:rFonts w:ascii="Times New Roman" w:eastAsia="Times New Roman" w:hAnsi="Times New Roman" w:cs="Times New Roman"/>
      <w:b/>
      <w:smallCaps/>
      <w:sz w:val="24"/>
      <w:szCs w:val="24"/>
      <w:lang w:eastAsia="ru-RU"/>
    </w:rPr>
  </w:style>
  <w:style w:type="table" w:styleId="ab">
    <w:name w:val="Table Grid"/>
    <w:basedOn w:val="a1"/>
    <w:uiPriority w:val="39"/>
    <w:qFormat/>
    <w:rsid w:val="00127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pt">
    <w:name w:val="Opt_абзац"/>
    <w:basedOn w:val="a"/>
    <w:link w:val="Opt0"/>
    <w:autoRedefine/>
    <w:qFormat/>
    <w:rsid w:val="00127D8A"/>
    <w:pPr>
      <w:keepNext/>
      <w:keepLines/>
      <w:tabs>
        <w:tab w:val="left" w:pos="2625"/>
      </w:tabs>
      <w:suppressAutoHyphens/>
      <w:spacing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Opt0">
    <w:name w:val="Opt_абзац Знак"/>
    <w:link w:val="Opt"/>
    <w:rsid w:val="00127D8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27D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7D8A"/>
    <w:pPr>
      <w:widowControl w:val="0"/>
      <w:autoSpaceDE w:val="0"/>
      <w:autoSpaceDN w:val="0"/>
      <w:spacing w:before="51" w:line="240" w:lineRule="auto"/>
    </w:pPr>
    <w:rPr>
      <w:rFonts w:eastAsia="Arial" w:cs="Arial"/>
      <w:lang w:val="en-US"/>
    </w:rPr>
  </w:style>
  <w:style w:type="paragraph" w:styleId="ac">
    <w:name w:val="List Paragraph"/>
    <w:basedOn w:val="a"/>
    <w:uiPriority w:val="34"/>
    <w:qFormat/>
    <w:rsid w:val="008E3C17"/>
    <w:pPr>
      <w:ind w:left="720"/>
      <w:contextualSpacing/>
    </w:pPr>
  </w:style>
  <w:style w:type="paragraph" w:customStyle="1" w:styleId="ad">
    <w:name w:val="Обычный таблиц"/>
    <w:basedOn w:val="a"/>
    <w:qFormat/>
    <w:rsid w:val="005312CB"/>
    <w:pPr>
      <w:spacing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6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3602</Words>
  <Characters>20536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2026-06-24T10:32:00Z</dcterms:created>
  <dcterms:modified xsi:type="dcterms:W3CDTF">2026-06-24T10:32:00Z</dcterms:modified>
</cp:coreProperties>
</file>