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проектам НДВ, ПУО, ПЭК для ТОО «НТП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Kazecotech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Описание предполагаемого места осуществления намечаемой деятельности.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предприятия ТОО «НТП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Kazecotech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расположена на территории Республики Казахстан, г. Астана, район Алматы, Индустриальный парк,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Койтас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здание 7.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Географические координаты места расположения предприятия: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[51.17680117153906, 71.50641483939965],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[51.1768351073194, 71.50768240781198],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[51.17643353231787, 71.50750197102732],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[51.176507060396624, 71.50636521928386].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земельного участка составляет 2,9621 га. Территория предприятия расположена в промышленной зоне города и предназначена для осуществления деятельности по переработке, утилизации и обезвреживанию отходов производства и потребления.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Предприятие расположено на территории промышленной зоны города Астаны. В соответствии с санитарной классификацией объект относится к III классу опасности с нормативной санитарно-защитной зоной 300 м. Ближайшая жилая застройка расположена за пределами санитарно-защитной зоны предприятия. Промплощадка находится вне водоохранных зон и полос водных объектов.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функционального использования территории и карта-схема представлены.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3982" cy="33909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197" cy="338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8476" cy="3409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040" cy="341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Описание затрагиваемой территории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потенциального воздействия включает производственную площадку предприятия и прилегающую территорию в пределах санитарно-защитной зоны размером 300 м.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населения города Астаны на 2026 год составляет 1 668 750 человек. В радиусе более 2 км от производственной площадки жилая застройка отсутствует.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видом воздействия являются выбросы загрязняющих веществ в атмосферный воздух, возникающие при эксплуатации технологического оборудования и осуществлении операций по обезвреживанию и переработке отходов. Перенос загрязняющих веществ возможен посредством атмосферного воздуха под воздействием метеорологических факторов.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Сброс сточных вод непосредственно в поверхностные водные объекты не осуществляется. Сточные воды отводятся в централизованные канализационные сети города Астаны.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Участки извлечения природных ресурсов в рамках намечаемой деятельности отсутствуют.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Захоронение отходов на территории предприятия не предусматривается. Образующиеся отходы передаются специализированным организациям либо направляются на переработку и утилизацию.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Ближайшие производственные объекты представлены следующими: Завод по производству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>сэндвич-панелей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Логистический центр с ж/д тупиком, Завод по производству машин, оборудования и техники специального назначения, Объект промышленного и гражданского назначения, Завод по производству газобетонных блоков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фиброцементных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плит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Наименование инициатора намечаемой деятельности, его контактные данные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намечаемой деятельности – Товарищество с ограниченной ответственностью «НТП </w:t>
      </w:r>
      <w:proofErr w:type="spellStart"/>
      <w:r>
        <w:rPr>
          <w:rFonts w:ascii="Times New Roman" w:hAnsi="Times New Roman" w:cs="Times New Roman"/>
          <w:sz w:val="24"/>
          <w:szCs w:val="24"/>
        </w:rPr>
        <w:t>Kazecotech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БИН: 110840010682.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Республика Казахстан, г. Астана, район Алматы, Индустриальный парк, ул. Қойтас, здание 7.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Руководитель: Андреев В.И.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(708) 425-15-88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recikling2030@mail.ru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 намечаемой деятельности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 видом деятельности предприятия является утилизация, переработка и обезвреживание отходов производства и потребления с получением товарной продукции.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территории предприятия расположены:</w:t>
      </w:r>
    </w:p>
    <w:p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участок утилизации опасных отходов;</w:t>
      </w:r>
    </w:p>
    <w:p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участок переработки ртутьсодержащих отходов;</w:t>
      </w:r>
    </w:p>
    <w:p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цех по производству протезно-ортопедических изделий;</w:t>
      </w:r>
    </w:p>
    <w:p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цех по переработке отходов черных и цветных металлов;</w:t>
      </w:r>
    </w:p>
    <w:p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участок дезинфекции, дезинсекции и дератизации.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осуществления деятельности используются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инсинераторные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установки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500 и Е-50К, установка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демеркуризации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УРЛ-2МИ, оборудование по переработке металлолома, оборудование протезно-ортопедического производства и вспомогательное оборудование.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Производительность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инсинератора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500 составляет до 511,7 т/год медицинских отходов и до 487,9 т/год отходов производства и потребления.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Производительность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инсинератора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Е-50К составляет до 360 т/год отходов.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очистки отходящих газов используются скрубберы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Вентури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циклоны, газопромыватели, фильтры с известью и другие элементы газоочистного оборудования.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Площадь земельного участка составляет 2,9621 га.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Технологический проце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сс вкл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ючает прием отходов, их накопление, сортировку, переработку,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демеркуризацию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термическое обезвреживание, переработку металлолома и производство товарной продукции.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Водоснабжение осуществляется от централизованных сетей города Астаны. Объем водопотребления составляет 122,226 м3/месяц. Объем водоотведения составляет 122,226 м3/месяц.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Основными используемыми сырьем и материалами являются отходы производства и потребления, медицинские отходы, ртутьсодержащие отходы, лом черных и цветных металлов, фильтрующие материалы, реагенты и вспомогательные материалы.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осуществления деятельности используется существующий земельный участок площадью 2,9621 га. Дополнительное изъятие земель не предусматривается.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качестве альтернативных вариантов рассматривались отказ от реализации намечаемой деятельности и размещение аналогичного объекта на иных территориях. Выбранный вариант признан наиболее рациональным ввиду размещения объекта в существующей промышленной зоне, наличия инженерной инфраструктуры и значительной удаленности от жилой застройки.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Краткое описание существенных воздействий намечаемой деятельности на окружающую среду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жизнь и здоровье населения ограничивается территорией предприятия и санитарно-защитной зоной. При соблюдении природоохранных мероприятий и технологических регламентов превышение нормативов качества окружающей среды не прогнозируется.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биоразнообразие оценивается как незначительное. Объект расположен в промышленной зоне. Изъятие природных территорий, уничтожение мест обитания животных, нарушение путей миграции животных и воздействие на генетические ресурсы не предусматриваются.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земельные ресурсы носит локальный характер и ограничивается территорией предприятия. Дополнительное изъятие земель не предусматривается.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Воздействие на почвы может быть связано с обращением отходов и эксплуатацией оборудования. Для предотвращения загрязнения предусмотрены площадки с твердым покрытием, организованный сбор отходов и система отвода поверхностных вод. Воздействие, связанное с эрозией, уплотнением и деградацией почв, не прогнозируется.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водные ресурсы ограничивается потреблением воды из централизованной системы водоснабжения. Забор воды из поверхностных и подземных источников не осуществляется. Сброс сточных вод в поверхностные водные объекты отсутствует. Изменение гидрологического режима водных объектов не предусматривается.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Основное воздействие на атмосферный воздух связано с выбросами загрязняющих веществ от технологических процессов переработки и обезвреживания отходов. По результатам расчетов рассеивания превышение нормативов качества атмосферного воздуха на границе санитарно-защитной зоны не прогнозируется.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устойчивость экологических и социально-экономических систем к изменению климата оценивается как незначительное. В процессе деятельности образуются выбросы парниковых газов, связанные с использованием топлива и эксплуатацией оборудования.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материальные активы не прогнозируется.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объекты историко-культурного наследия, архитектурные и археологические объекты не предусматривается.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ландшафт ограничивается территорией существующей промышленной зоны и не приводит к существенному изменению характера землепользования.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окружающую среду носит комплексный характер и проявляется во взаимосвязи атмосферного воздуха, отходов производства и потребления, земельных ресурсов, водопотребления и условий проживания населения.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 и их захоронения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предприятии эксплуатируется 9 источников выбросов загрязняющих веществ, в том числе 7 организованных и 2 неорганизованных.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Предельный максимально-разовый выброс загрязняющих веществ составляет 0,946 г/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Предельный валовый выброс загрязняющих веществ составляет 7,647 т/год.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Загрязняющими веществами являются: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Железо (II, III) оксиды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диЖелезо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триоксид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Железа оксид) /в пересчете на железо/, Кадмий оксид /в пересчете на кадмий/, Марганец и его соединения /в пересчете на марганца (IV) оксид/,  Медь (II) оксид (Медь оксид, Меди оксид), Никель оксид /в пересчете на никель/, Ртуть (Ртуть металлическая), Свинец и его неорганические соединения, Хром /в пересчете на хром (VI), Азота (IV) диоксид (Азота диоксид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), Азот (II) оксид (Азота оксид), Гидрохлорид (Соляная кислота, Водород хлорид), Мышьяк, неорганические соединения/в пересчете на мышьяк/, Углерод (Сажа, Углерод черный), Сера диоксид (Ангидрид сернистый, Сернистый газ, Сера оксид), Сероводород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Дигидросульфид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Углерод оксид (Окись углерода, Угарный газ), Фтористые газообразные соединения /в пересчете на фтор/, Ксилол (смесь изомеров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м-, п-), Толуол, 3,4-Бензпирен, Формальдегид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Метаналь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Пропан-2-он (Ацетон) (470), Масло минеральное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нефтяное (веретенное, машинное, цилиндровое), Углеводороды предельные С12-С19 (в пересчете на С), Взвешенные частицы, Мазутная зола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теплоэлектро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-станций /в пересчете на ванадий/, Пыль неорганическая, содержащая двуокись кремния выше 70% (Динас и т.д.), Пыль неорганическая, содержа-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двуокись кремния в %: 70-20 (шамот, цемент, пыль цемент-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производства - глина,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гли-нистый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сланец, доменный шлак,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песок, клинкер, кремнезем, зола углей казахстанских м-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Пыль абразивная (Корунд белый,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Монокорунд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Диоксины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/в пересчете на 2,3,7, 8- тетрахлордибензо-1,4-диоксин/.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Общий объем образования отходов составляет 65,748 т/год.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предприятии образуется 10 видов отходов, из которых 10 видов относится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к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неопасным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Предельное количество накопления отходов составляет: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Абсорбенты, фильтровальные материалы, ткани для вытирания, защитная одежда, за исключением </w:t>
      </w:r>
      <w:proofErr w:type="gramStart"/>
      <w:r>
        <w:rPr>
          <w:rFonts w:ascii="Times New Roman" w:hAnsi="Times New Roman"/>
          <w:bCs/>
          <w:sz w:val="24"/>
          <w:szCs w:val="24"/>
        </w:rPr>
        <w:t>упомянутых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15 02 02 (СИЗ, одежда) (15 02 03) – 0,075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Смешанные коммунальные отходы (20 03 01) – 1,875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Пластмассы (20 01 39) – 3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Черные металлы (16 01 17) – 5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Опилки и стружки цветных металлов (12 01 03) – 0,0201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Отходы от уборки улиц (20 03 03) – 14,75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Зольный остаток и котельные шлаки, за исключением </w:t>
      </w:r>
      <w:proofErr w:type="gramStart"/>
      <w:r>
        <w:rPr>
          <w:rFonts w:ascii="Times New Roman" w:hAnsi="Times New Roman"/>
          <w:bCs/>
          <w:sz w:val="24"/>
          <w:szCs w:val="24"/>
        </w:rPr>
        <w:t>упомянутых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19 01 11 (19 01 12) – 40,8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Списанное электрическое и электронное оборудование, за исключением </w:t>
      </w:r>
      <w:proofErr w:type="gramStart"/>
      <w:r>
        <w:rPr>
          <w:rFonts w:ascii="Times New Roman" w:hAnsi="Times New Roman"/>
          <w:bCs/>
          <w:sz w:val="24"/>
          <w:szCs w:val="24"/>
        </w:rPr>
        <w:t>упомянутого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20 01 21 и 20 01 35 (20 01 36) – 0,065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Крупногабаритные отходы (20 03 07) – 0,16 т/год;</w:t>
      </w:r>
    </w:p>
    <w:p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Пластмассовая упаковка (15 01 02) – 0,00297 т/год.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Захоронение отходов в рамках намечаемой деятельности не предусматривается.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Физические воздействия на окружающую среду связаны с работой технологического оборудования и транспортных средств. Уровни воздействия не должны превышать установленных санитарно-гигиенических нормативов.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Информация о вероятности возникновения аварий и опасных природных явлений, характерных для намечаемой деятельности и предполагаемого места ее осуществления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возникновения аварийных ситуаций оценивается как низкая при соблюдении требований промышленной, пожарной и экологической безопасности.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вероятными аварийными ситуациями являются: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технологического процесса;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 оборудования;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подачи электроэнергии;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ошибки персонала;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пожары;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взрывы;</w:t>
      </w:r>
    </w:p>
    <w:p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чрезвычайные ситуации природного характера.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территории размещения объекта характерны сильные ветры, метели, низкие температуры, грозы и иные неблагоприятные природные явления.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аварий возможны дополнительные выбросы загрязняющих веществ, образование отходов, задымление территории и иные негативные воздействия на окружающую среду.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предотвращения аварий предусмотрены производственный экологический контроль, соблюдение технологических регламентов, противопожарные мероприятия, техническое обслуживание оборудования, обучение персонала, наличие плана ликвидации аварийных ситуаций и оперативное оповещение ответственных лиц и государственных органов.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Краткое описание мер по предотвращению, сокращению и смягчению воздействий на окружающую среду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Для предотвращения, сокращения и смягчения воздействия на окружающую среду предусмотрены: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производственный экологический контроль;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мониторинг выбросов загрязняющих веществ;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контроль состояния атмосферного воздуха на границе санитарно-защитной зоны;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организованный сбор, накопление и передача отходов специализированным организациям;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использование газоочистного оборудования;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соблюдение технологических регламентов;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регулярные внутренние экологические проверки;</w:t>
      </w:r>
    </w:p>
    <w:p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своевременное техническое обслуживание оборудования.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Потери биоразнообразия при реализации намечаемой деятельности не прогнозируются, 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 чем компенсационные мероприятия не требуются.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Необратимые воздействия на окружающую среду не прогнозируются.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случае прекращения деятельности предусматриваются демонтаж оборудования, вывоз отходов и материалов, очистка территории, проведение необходимых природоохранных мероприятий и приведение земельного участка в экологически безопасное состояние.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Список использованной литературы: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Экологический кодекс РК от 02.01.2021 г.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«Сборник методик по расчету выбросов вредных веществ в атмосферу различными производствами», Алматы, 1996 год.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Унифицированная программа расчета величин концентраций загрязняющих веществ в атмосферном воздухе, «ЭРА» версия 3.0.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определения нормативов эмиссий в окружающую среду, утвержденной приказом Министра экологии, геологии и природных ресурсов от 10 марта 2021 года № 63.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нормативов выбросов от неорганизованных источников, согласно приказу министра охраны окружающей среды Республики, Казахстан от 18 апреля 2008 года № 100-п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РНД 211.2.02.03-2004 «Методика расчета выбросов загрязняющих веществ в атмосферу при сварочных работах (по величинам удельных выбросов)».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выбросов загрязняющих веществ в атмосферу от предприятий по производству строительных материалов, утвержденная приказом Министра охраны окружающей среды РК от 18.04.2008 г. №100-п, Приложение 11.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выбросов загрязняющих веществ от автотранспортных предприятий, утвержденная приказом Министра охраны окружающей среды РК от 18.04.2008 г. №100-п, Приложение 13.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концентраций вредных веществ в атмосферном воздухе от выбросов предприятий, утверждены приказом Министра окружающей среды и водных ресурсов РК от 12 июня 2014 г. № 221-О (Приложение 12).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выделений (выбросов) загрязняющих веществ в атмосферу при нанесении лакокрасочных материалов (по величинам удельных выбросов) РНД 211.2.025.05 -2004.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Министра экологии, геологии и природных ресурсов Республики Казахстан от 8 сентября 2021 года № 363-п «Об утверждении перечня национальных стандартов в области управления отдельными видами отходов».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Приказ Министра экологии, геологии и природных ресурсов Республики Казахстан от 14 июля 2021 года № 250 «Об утверждении </w:t>
      </w:r>
      <w:proofErr w:type="gramStart"/>
      <w:r>
        <w:rPr>
          <w:rFonts w:ascii="Times New Roman" w:hAnsi="Times New Roman"/>
          <w:bCs/>
          <w:sz w:val="24"/>
          <w:szCs w:val="24"/>
        </w:rPr>
        <w:t>Правил разработки программы производственного экологического контроля объектов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 и II категорий, ведения </w:t>
      </w:r>
      <w:r>
        <w:rPr>
          <w:rFonts w:ascii="Times New Roman" w:hAnsi="Times New Roman"/>
          <w:bCs/>
          <w:sz w:val="24"/>
          <w:szCs w:val="24"/>
        </w:rPr>
        <w:lastRenderedPageBreak/>
        <w:t>внутреннего учета, формирования и предоставления периодических отчетов по результатам производственного экологического контроля».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Приказ Министра экологии, геологии и природных ресурсов Республики Казахстан от 22 июня 2021 года № 208 «Об утверждении </w:t>
      </w:r>
      <w:proofErr w:type="gramStart"/>
      <w:r>
        <w:rPr>
          <w:rFonts w:ascii="Times New Roman" w:hAnsi="Times New Roman"/>
          <w:bCs/>
          <w:sz w:val="24"/>
          <w:szCs w:val="24"/>
        </w:rPr>
        <w:t>Правил ведения автоматизированной системы мониторинга эмиссий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окружающую среду при проведении производственного экологического контроля».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Водный кодекс Республики Казахстан от 9 июля 2003 года N 481-II (с изменениями и дополнениями по состоянию на 01.07.2021 г.).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Земельный кодекс Республики Казахстан от 20 июня 2003 года №442- II                        (с изменениями и дополнениями по состоянию на 06.07.2021 г.).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Закон Республики Казахстан от 23 апреля 1998 года №219-I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радиационной безопасности населения (с изменениями и дополнениями по состоянию на 25.02.2021 г.)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Гигиенические нормативы к атмосферному воздуху в городских и сельских населенных пунктах, утверждёнными министром приказом Министра здравоохранения Республики Казахстан от 2 августа 2022 года № Қ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ДСМ-70.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Министра охраны окружающей среды Республики Казахстан от 31 мая 2007 года № 172-п Перечень, формы и сроки обмена информацией по ведению Единой государственной системы мониторинга окружающей среды и природных ресурсов.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Рекомендации по разработке Программы производственного экологического контроля (Начальник отдела мониторинга, нормирования, экономики природопользования Западно-Казахстанского </w:t>
      </w:r>
      <w:proofErr w:type="spellStart"/>
      <w:r>
        <w:rPr>
          <w:rFonts w:ascii="Times New Roman" w:hAnsi="Times New Roman"/>
          <w:bCs/>
          <w:sz w:val="24"/>
          <w:szCs w:val="24"/>
        </w:rPr>
        <w:t>облтеруправления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ООС В.Н. Хон, 18.09.2007 г.).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Министра здравоохранения Республики Казахстан от 2 августа 2022 года                          № Қ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ДСМ-71. Гигиенические нормативы «Санитарно-эпидемиологические требования к обеспечению радиационной безопасности».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 «Санитарно-эпидемиологические требования к объектам промышленности», утвержденными Министра здравоохранения Республики Казахстан от 11 февраля 2022 года № Қ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ДСМ -13.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17.4.4.02-84 и «Научно-методическими указаниями по мониторингу земель РК», Алматы, 1994г.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«Методические указания по определению тяжелых металлов в почвах сельхозугодий и продукции растениеводства», Москва, 1989г.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40 к приказу Министра охраны окружающей среды от 29 ноября 2010 года № 298 «Методика по регулированию выбросов при неблагоприятных метеорологических условиях».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расчёта лимитов накопления отходов и лимитов захоронения отходов Приказ Министра экологии геологии и природных ресурсов Республики Казахстан от 22.06.2021г, №206.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Методика </w:t>
      </w:r>
      <w:proofErr w:type="gramStart"/>
      <w:r>
        <w:rPr>
          <w:rFonts w:ascii="Times New Roman" w:hAnsi="Times New Roman"/>
          <w:bCs/>
          <w:sz w:val="24"/>
          <w:szCs w:val="24"/>
        </w:rPr>
        <w:t>разработки проектов нормативов предельного размещения отходов производства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потребления», приложение № 16 к приказу Министра охраны окружающей среды Республики Казахстан от 18. 04 2008г., № 100-п.  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Санитарно-эпидемиологические требования к сбору, использованию, применению, обезвреживанию, транспортировке, хранению, и захоронению отходов производства и потребления от 25.12.2020 г., № Қ</w:t>
      </w:r>
      <w:proofErr w:type="gramStart"/>
      <w:r>
        <w:rPr>
          <w:rFonts w:ascii="Times New Roman" w:hAnsi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ДСМ-331/2020.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Классификатор отходов. Приказ и</w:t>
      </w:r>
      <w:proofErr w:type="gramStart"/>
      <w:r>
        <w:rPr>
          <w:rFonts w:ascii="Times New Roman" w:hAnsi="Times New Roman"/>
          <w:bCs/>
          <w:sz w:val="24"/>
          <w:szCs w:val="24"/>
        </w:rPr>
        <w:t>.о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Министра экологии геологии и природных   ресурсов Республики Казахстан от 06.08.2021 г., № 314.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нормирования объёмов образования и размещения отходов производства, РНД 03.1.0.3.01-96. Алматы-1996.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Правила разработки программы управления отходами. Приказ </w:t>
      </w:r>
      <w:proofErr w:type="spellStart"/>
      <w:r>
        <w:rPr>
          <w:rFonts w:ascii="Times New Roman" w:hAnsi="Times New Roman"/>
          <w:bCs/>
          <w:sz w:val="24"/>
          <w:szCs w:val="24"/>
        </w:rPr>
        <w:t>и</w:t>
      </w:r>
      <w:proofErr w:type="gramStart"/>
      <w:r>
        <w:rPr>
          <w:rFonts w:ascii="Times New Roman" w:hAnsi="Times New Roman"/>
          <w:bCs/>
          <w:sz w:val="24"/>
          <w:szCs w:val="24"/>
        </w:rPr>
        <w:t>.о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Министра экологии, геологии и природных ресурсов РК 09.08.2021 г., № 318.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указания по определению уровня загрязнения компонентов окружающей среды токсичными веществами отходов производства и потребления. РНД 03.3.0.4.01-96. Алматы-1996 г.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ГОСТ 17.1.3.07.- 82. Охрана природы. Гидросфера. Правила контроля качества воды водоемов и водотоков.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17.1.5.04.-84. Охрана природы. Гидросфера. Приборы и устройства для отбора, первичной обработки и хранения проб природных вод. Общие технические условия.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17.4.3.01-83 Охрана природы. Расположение пробных площадок.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перевозок опасных грузов автотранспортными средствами, их проезда по территории Республики Казахстан, и квалификационные требования к водителям и автотранспортным средствам, перевозящим опасные грузы от 19.03.2013 г., № 259.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обеспечения промышленной безопасности для хвостовых и шламовых хозяйств опасных производственных объектов, приказ Министра по инвестициям и развитию РК от 30.12.2014 г. № 349.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по организации государственного контроля по охране атмосферного воздуха на предприятиях. - РНД 211.3.01.01.96. от 18.05.96, Алматы-1996.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СТ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РК 1513-2019. Ресурсосбережение. Обращение с отходами на всех этапах технологического цикла. Классификация и методы переработки ртутьсодержащих отходов. Основные положения. №451-ОД от 03.12.2019 г.</w:t>
      </w:r>
    </w:p>
    <w:p>
      <w:pPr>
        <w:pStyle w:val="a5"/>
        <w:numPr>
          <w:ilvl w:val="0"/>
          <w:numId w:val="47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Санитарные правила «Санитарно-эпидемиологические требования к объектам здравоохранения», приказ Министра Здравоохранения РК от 11.08.2020г.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63"/>
    <w:multiLevelType w:val="multilevel"/>
    <w:tmpl w:val="05D298D6"/>
    <w:lvl w:ilvl="0">
      <w:start w:val="1"/>
      <w:numFmt w:val="bullet"/>
      <w:lvlText w:val=""/>
      <w:lvlJc w:val="left"/>
      <w:pPr>
        <w:ind w:left="118" w:hanging="708"/>
      </w:pPr>
      <w:rPr>
        <w:rFonts w:ascii="Symbol" w:hAnsi="Symbol" w:hint="default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18" w:hanging="147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24" w:hanging="147"/>
      </w:pPr>
    </w:lvl>
    <w:lvl w:ilvl="3">
      <w:numFmt w:val="bullet"/>
      <w:lvlText w:val="•"/>
      <w:lvlJc w:val="left"/>
      <w:pPr>
        <w:ind w:left="3127" w:hanging="147"/>
      </w:pPr>
    </w:lvl>
    <w:lvl w:ilvl="4">
      <w:numFmt w:val="bullet"/>
      <w:lvlText w:val="•"/>
      <w:lvlJc w:val="left"/>
      <w:pPr>
        <w:ind w:left="4130" w:hanging="147"/>
      </w:pPr>
    </w:lvl>
    <w:lvl w:ilvl="5">
      <w:numFmt w:val="bullet"/>
      <w:lvlText w:val="•"/>
      <w:lvlJc w:val="left"/>
      <w:pPr>
        <w:ind w:left="5133" w:hanging="147"/>
      </w:pPr>
    </w:lvl>
    <w:lvl w:ilvl="6">
      <w:numFmt w:val="bullet"/>
      <w:lvlText w:val="•"/>
      <w:lvlJc w:val="left"/>
      <w:pPr>
        <w:ind w:left="6136" w:hanging="147"/>
      </w:pPr>
    </w:lvl>
    <w:lvl w:ilvl="7">
      <w:numFmt w:val="bullet"/>
      <w:lvlText w:val="•"/>
      <w:lvlJc w:val="left"/>
      <w:pPr>
        <w:ind w:left="7139" w:hanging="147"/>
      </w:pPr>
    </w:lvl>
    <w:lvl w:ilvl="8">
      <w:numFmt w:val="bullet"/>
      <w:lvlText w:val="•"/>
      <w:lvlJc w:val="left"/>
      <w:pPr>
        <w:ind w:left="8142" w:hanging="147"/>
      </w:pPr>
    </w:lvl>
  </w:abstractNum>
  <w:abstractNum w:abstractNumId="1">
    <w:nsid w:val="00637C68"/>
    <w:multiLevelType w:val="hybridMultilevel"/>
    <w:tmpl w:val="D2A20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08051BB"/>
    <w:multiLevelType w:val="hybridMultilevel"/>
    <w:tmpl w:val="73A0299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8F04EB"/>
    <w:multiLevelType w:val="hybridMultilevel"/>
    <w:tmpl w:val="CE3A1E26"/>
    <w:lvl w:ilvl="0" w:tplc="B008B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913D3C"/>
    <w:multiLevelType w:val="hybridMultilevel"/>
    <w:tmpl w:val="47EE01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946106"/>
    <w:multiLevelType w:val="hybridMultilevel"/>
    <w:tmpl w:val="C792A2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22838"/>
    <w:multiLevelType w:val="hybridMultilevel"/>
    <w:tmpl w:val="569AA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C22393"/>
    <w:multiLevelType w:val="hybridMultilevel"/>
    <w:tmpl w:val="F692E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1A0FD4"/>
    <w:multiLevelType w:val="hybridMultilevel"/>
    <w:tmpl w:val="E3189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862CDE"/>
    <w:multiLevelType w:val="hybridMultilevel"/>
    <w:tmpl w:val="F0A81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8D4CD1"/>
    <w:multiLevelType w:val="hybridMultilevel"/>
    <w:tmpl w:val="2C88C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72AF6"/>
    <w:multiLevelType w:val="hybridMultilevel"/>
    <w:tmpl w:val="C9624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720E6C"/>
    <w:multiLevelType w:val="hybridMultilevel"/>
    <w:tmpl w:val="09F8E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593967"/>
    <w:multiLevelType w:val="hybridMultilevel"/>
    <w:tmpl w:val="86C490F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36046B0C"/>
    <w:multiLevelType w:val="hybridMultilevel"/>
    <w:tmpl w:val="E2B49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475372"/>
    <w:multiLevelType w:val="hybridMultilevel"/>
    <w:tmpl w:val="0C1A8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D67901"/>
    <w:multiLevelType w:val="hybridMultilevel"/>
    <w:tmpl w:val="FD72C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18726A4"/>
    <w:multiLevelType w:val="hybridMultilevel"/>
    <w:tmpl w:val="6164C82A"/>
    <w:lvl w:ilvl="0" w:tplc="21D65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58604C"/>
    <w:multiLevelType w:val="hybridMultilevel"/>
    <w:tmpl w:val="1CF2E6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3071EB7"/>
    <w:multiLevelType w:val="hybridMultilevel"/>
    <w:tmpl w:val="0B622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683F27"/>
    <w:multiLevelType w:val="multilevel"/>
    <w:tmpl w:val="4B6CF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5DD6A90"/>
    <w:multiLevelType w:val="hybridMultilevel"/>
    <w:tmpl w:val="B3C89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644AB6"/>
    <w:multiLevelType w:val="hybridMultilevel"/>
    <w:tmpl w:val="BE72A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176509"/>
    <w:multiLevelType w:val="hybridMultilevel"/>
    <w:tmpl w:val="C714C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FD03B1"/>
    <w:multiLevelType w:val="hybridMultilevel"/>
    <w:tmpl w:val="7B12C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D42CFC"/>
    <w:multiLevelType w:val="hybridMultilevel"/>
    <w:tmpl w:val="DC7E6D5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2333E8"/>
    <w:multiLevelType w:val="hybridMultilevel"/>
    <w:tmpl w:val="0F22D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814AA7"/>
    <w:multiLevelType w:val="hybridMultilevel"/>
    <w:tmpl w:val="4968A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B35365"/>
    <w:multiLevelType w:val="hybridMultilevel"/>
    <w:tmpl w:val="FBA0B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0350E0"/>
    <w:multiLevelType w:val="hybridMultilevel"/>
    <w:tmpl w:val="D0A0FF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CC370BB"/>
    <w:multiLevelType w:val="hybridMultilevel"/>
    <w:tmpl w:val="1F600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920266"/>
    <w:multiLevelType w:val="hybridMultilevel"/>
    <w:tmpl w:val="8856D9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464EA5"/>
    <w:multiLevelType w:val="hybridMultilevel"/>
    <w:tmpl w:val="9168B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117617"/>
    <w:multiLevelType w:val="hybridMultilevel"/>
    <w:tmpl w:val="F9389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93743A3"/>
    <w:multiLevelType w:val="hybridMultilevel"/>
    <w:tmpl w:val="8BD4BD40"/>
    <w:lvl w:ilvl="0" w:tplc="B008B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DE0034"/>
    <w:multiLevelType w:val="hybridMultilevel"/>
    <w:tmpl w:val="02920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D8E3C20"/>
    <w:multiLevelType w:val="hybridMultilevel"/>
    <w:tmpl w:val="CDB07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69711A"/>
    <w:multiLevelType w:val="hybridMultilevel"/>
    <w:tmpl w:val="64AC8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15D3FBB"/>
    <w:multiLevelType w:val="hybridMultilevel"/>
    <w:tmpl w:val="61E89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C5F2DB6"/>
    <w:multiLevelType w:val="hybridMultilevel"/>
    <w:tmpl w:val="96362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C871055"/>
    <w:multiLevelType w:val="hybridMultilevel"/>
    <w:tmpl w:val="6F86CD6A"/>
    <w:lvl w:ilvl="0" w:tplc="116E1A4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DDA677B"/>
    <w:multiLevelType w:val="hybridMultilevel"/>
    <w:tmpl w:val="3DBA5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0F513F"/>
    <w:multiLevelType w:val="hybridMultilevel"/>
    <w:tmpl w:val="67E09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424B6"/>
    <w:multiLevelType w:val="hybridMultilevel"/>
    <w:tmpl w:val="3DFEAB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E6F45CE"/>
    <w:multiLevelType w:val="hybridMultilevel"/>
    <w:tmpl w:val="8E782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FCA3464"/>
    <w:multiLevelType w:val="hybridMultilevel"/>
    <w:tmpl w:val="475C1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FF93F2B"/>
    <w:multiLevelType w:val="hybridMultilevel"/>
    <w:tmpl w:val="3036E6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14"/>
  </w:num>
  <w:num w:numId="4">
    <w:abstractNumId w:val="4"/>
  </w:num>
  <w:num w:numId="5">
    <w:abstractNumId w:val="33"/>
  </w:num>
  <w:num w:numId="6">
    <w:abstractNumId w:val="37"/>
  </w:num>
  <w:num w:numId="7">
    <w:abstractNumId w:val="31"/>
  </w:num>
  <w:num w:numId="8">
    <w:abstractNumId w:val="0"/>
  </w:num>
  <w:num w:numId="9">
    <w:abstractNumId w:val="41"/>
  </w:num>
  <w:num w:numId="10">
    <w:abstractNumId w:val="22"/>
  </w:num>
  <w:num w:numId="11">
    <w:abstractNumId w:val="43"/>
  </w:num>
  <w:num w:numId="12">
    <w:abstractNumId w:val="20"/>
  </w:num>
  <w:num w:numId="13">
    <w:abstractNumId w:val="17"/>
  </w:num>
  <w:num w:numId="14">
    <w:abstractNumId w:val="19"/>
  </w:num>
  <w:num w:numId="15">
    <w:abstractNumId w:val="10"/>
  </w:num>
  <w:num w:numId="16">
    <w:abstractNumId w:val="28"/>
  </w:num>
  <w:num w:numId="17">
    <w:abstractNumId w:val="23"/>
  </w:num>
  <w:num w:numId="18">
    <w:abstractNumId w:val="29"/>
  </w:num>
  <w:num w:numId="19">
    <w:abstractNumId w:val="45"/>
  </w:num>
  <w:num w:numId="20">
    <w:abstractNumId w:val="38"/>
  </w:num>
  <w:num w:numId="21">
    <w:abstractNumId w:val="15"/>
  </w:num>
  <w:num w:numId="22">
    <w:abstractNumId w:val="25"/>
  </w:num>
  <w:num w:numId="23">
    <w:abstractNumId w:val="9"/>
  </w:num>
  <w:num w:numId="24">
    <w:abstractNumId w:val="27"/>
  </w:num>
  <w:num w:numId="25">
    <w:abstractNumId w:val="11"/>
  </w:num>
  <w:num w:numId="26">
    <w:abstractNumId w:val="12"/>
  </w:num>
  <w:num w:numId="27">
    <w:abstractNumId w:val="5"/>
  </w:num>
  <w:num w:numId="28">
    <w:abstractNumId w:val="39"/>
  </w:num>
  <w:num w:numId="29">
    <w:abstractNumId w:val="7"/>
  </w:num>
  <w:num w:numId="30">
    <w:abstractNumId w:val="26"/>
  </w:num>
  <w:num w:numId="31">
    <w:abstractNumId w:val="30"/>
  </w:num>
  <w:num w:numId="32">
    <w:abstractNumId w:val="36"/>
  </w:num>
  <w:num w:numId="33">
    <w:abstractNumId w:val="16"/>
  </w:num>
  <w:num w:numId="34">
    <w:abstractNumId w:val="34"/>
  </w:num>
  <w:num w:numId="35">
    <w:abstractNumId w:val="3"/>
  </w:num>
  <w:num w:numId="36">
    <w:abstractNumId w:val="40"/>
  </w:num>
  <w:num w:numId="37">
    <w:abstractNumId w:val="18"/>
  </w:num>
  <w:num w:numId="38">
    <w:abstractNumId w:val="35"/>
  </w:num>
  <w:num w:numId="39">
    <w:abstractNumId w:val="46"/>
  </w:num>
  <w:num w:numId="40">
    <w:abstractNumId w:val="44"/>
  </w:num>
  <w:num w:numId="41">
    <w:abstractNumId w:val="21"/>
  </w:num>
  <w:num w:numId="42">
    <w:abstractNumId w:val="8"/>
  </w:num>
  <w:num w:numId="43">
    <w:abstractNumId w:val="24"/>
  </w:num>
  <w:num w:numId="44">
    <w:abstractNumId w:val="32"/>
  </w:num>
  <w:num w:numId="45">
    <w:abstractNumId w:val="1"/>
  </w:num>
  <w:num w:numId="46">
    <w:abstractNumId w:val="6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ind w:right="-144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ТАБЛИЦА,Раздел,Список МАРКЕРОВ,List Paragraph1,corp de texte,Таблицы,Текстовая"/>
    <w:basedOn w:val="a"/>
    <w:link w:val="a6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ТАБЛИЦА Знак,Раздел Знак,Список МАРКЕРОВ Знак,List Paragraph1 Знак,corp de texte Знак,Таблицы Знак,Текстовая Знак"/>
    <w:link w:val="a5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194">
    <w:name w:val="Font Style194"/>
    <w:uiPriority w:val="99"/>
    <w:rPr>
      <w:rFonts w:ascii="Arial" w:hAnsi="Arial" w:cs="Arial"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aliases w:val="Title Down,Footer_ARGOSS"/>
    <w:basedOn w:val="a"/>
    <w:link w:val="aa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aliases w:val="Title Down Знак,Footer_ARGOSS Знак"/>
    <w:basedOn w:val="a0"/>
    <w:link w:val="a9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ind w:right="-144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ТАБЛИЦА,Раздел,Список МАРКЕРОВ,List Paragraph1,corp de texte,Таблицы,Текстовая"/>
    <w:basedOn w:val="a"/>
    <w:link w:val="a6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ТАБЛИЦА Знак,Раздел Знак,Список МАРКЕРОВ Знак,List Paragraph1 Знак,corp de texte Знак,Таблицы Знак,Текстовая Знак"/>
    <w:link w:val="a5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194">
    <w:name w:val="Font Style194"/>
    <w:uiPriority w:val="99"/>
    <w:rPr>
      <w:rFonts w:ascii="Arial" w:hAnsi="Arial" w:cs="Arial"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aliases w:val="Title Down,Footer_ARGOSS"/>
    <w:basedOn w:val="a"/>
    <w:link w:val="aa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aliases w:val="Title Down Знак,Footer_ARGOSS Знак"/>
    <w:basedOn w:val="a0"/>
    <w:link w:val="a9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6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93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2939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Irzhik</dc:creator>
  <cp:lastModifiedBy>Пользователь</cp:lastModifiedBy>
  <cp:revision>25</cp:revision>
  <cp:lastPrinted>2026-02-24T10:31:00Z</cp:lastPrinted>
  <dcterms:created xsi:type="dcterms:W3CDTF">2026-06-18T10:47:00Z</dcterms:created>
  <dcterms:modified xsi:type="dcterms:W3CDTF">2026-06-24T10:26:00Z</dcterms:modified>
</cp:coreProperties>
</file>