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0274" w14:textId="77777777" w:rsidR="00D5095A" w:rsidRPr="006036BC" w:rsidRDefault="005B1CD2" w:rsidP="00AB3287">
      <w:pPr>
        <w:pStyle w:val="NormalWeb"/>
        <w:spacing w:before="0" w:beforeAutospacing="0" w:after="0" w:afterAutospacing="0"/>
        <w:jc w:val="center"/>
        <w:rPr>
          <w:b/>
        </w:rPr>
      </w:pPr>
      <w:r w:rsidRPr="006036BC">
        <w:rPr>
          <w:b/>
          <w:lang w:val="kk-KZ"/>
        </w:rPr>
        <w:t>Нетехническое резюме</w:t>
      </w:r>
      <w:r w:rsidR="00F0263C" w:rsidRPr="006036BC">
        <w:rPr>
          <w:b/>
        </w:rPr>
        <w:t xml:space="preserve"> </w:t>
      </w:r>
    </w:p>
    <w:p w14:paraId="24C5C88E" w14:textId="035911FC" w:rsidR="00D5095A" w:rsidRPr="006036BC" w:rsidRDefault="00D5095A" w:rsidP="00AB3287">
      <w:pPr>
        <w:pStyle w:val="NormalWeb"/>
        <w:spacing w:before="0" w:beforeAutospacing="0" w:after="0" w:afterAutospacing="0"/>
        <w:jc w:val="center"/>
        <w:rPr>
          <w:b/>
        </w:rPr>
      </w:pPr>
      <w:r w:rsidRPr="006036BC">
        <w:rPr>
          <w:b/>
        </w:rPr>
        <w:t>Оператор объекта: ТОО «</w:t>
      </w:r>
      <w:r w:rsidR="00AB3287" w:rsidRPr="006036BC">
        <w:rPr>
          <w:b/>
        </w:rPr>
        <w:t>АКТАС ЭНЕРДЖИ</w:t>
      </w:r>
      <w:r w:rsidRPr="006036BC">
        <w:rPr>
          <w:b/>
        </w:rPr>
        <w:t>»</w:t>
      </w:r>
    </w:p>
    <w:p w14:paraId="484138AD" w14:textId="591B4AE3" w:rsidR="00FF44BD" w:rsidRPr="006036BC" w:rsidRDefault="00D5095A" w:rsidP="00AB3287">
      <w:pPr>
        <w:pStyle w:val="NormalWeb"/>
        <w:spacing w:before="0" w:beforeAutospacing="0" w:after="0" w:afterAutospacing="0"/>
        <w:jc w:val="center"/>
      </w:pPr>
      <w:r w:rsidRPr="006036BC">
        <w:rPr>
          <w:b/>
        </w:rPr>
        <w:t>Объект: «</w:t>
      </w:r>
      <w:r w:rsidR="00AB3287" w:rsidRPr="006036BC">
        <w:rPr>
          <w:b/>
        </w:rPr>
        <w:t xml:space="preserve">Строительство ВЭС «Мирный» 1 ГВт в Жамбылской области </w:t>
      </w:r>
      <w:r w:rsidR="000A77F6" w:rsidRPr="000A77F6">
        <w:rPr>
          <w:b/>
        </w:rPr>
        <w:t>3</w:t>
      </w:r>
      <w:r w:rsidR="00AB3287" w:rsidRPr="006036BC">
        <w:rPr>
          <w:b/>
        </w:rPr>
        <w:t xml:space="preserve">-я очередь. ВЭС </w:t>
      </w:r>
      <w:r w:rsidR="000A77F6">
        <w:rPr>
          <w:b/>
          <w:lang w:val="en-US"/>
        </w:rPr>
        <w:t>30</w:t>
      </w:r>
      <w:r w:rsidR="00AB3287" w:rsidRPr="006036BC">
        <w:rPr>
          <w:b/>
        </w:rPr>
        <w:t>0 МВт</w:t>
      </w:r>
      <w:r w:rsidRPr="006036BC">
        <w:rPr>
          <w:b/>
        </w:rPr>
        <w:t>»</w:t>
      </w:r>
    </w:p>
    <w:p w14:paraId="7B99DCD5" w14:textId="77777777" w:rsidR="00D5095A" w:rsidRPr="006036BC" w:rsidRDefault="00D5095A" w:rsidP="00F0263C">
      <w:pPr>
        <w:pStyle w:val="NormalWeb"/>
        <w:spacing w:before="0" w:beforeAutospacing="0" w:after="0" w:afterAutospacing="0"/>
        <w:ind w:firstLine="709"/>
        <w:jc w:val="both"/>
        <w:rPr>
          <w:color w:val="000000" w:themeColor="text1"/>
        </w:rPr>
      </w:pPr>
    </w:p>
    <w:p w14:paraId="5DFDB856" w14:textId="77777777" w:rsidR="00AB3287" w:rsidRPr="006036BC" w:rsidRDefault="00AB3287" w:rsidP="00AB3287">
      <w:pPr>
        <w:tabs>
          <w:tab w:val="left" w:pos="6804"/>
          <w:tab w:val="left" w:pos="6946"/>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Согласно Задания на разработку рабочего проекта «Строительство ВЭС «Мирный» 1 ГВт в Жамбылской области» требуется разделения на очереди строительства:</w:t>
      </w:r>
    </w:p>
    <w:p w14:paraId="69959C92" w14:textId="77777777" w:rsidR="00AB3287" w:rsidRPr="006036BC" w:rsidRDefault="00AB3287" w:rsidP="00AB3287">
      <w:pPr>
        <w:tabs>
          <w:tab w:val="left" w:pos="6804"/>
          <w:tab w:val="left" w:pos="6946"/>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Р1 пусковой комплекс – 250 МВт;</w:t>
      </w:r>
    </w:p>
    <w:p w14:paraId="2BA48B5F" w14:textId="77777777" w:rsidR="00AB3287" w:rsidRPr="000A77F6" w:rsidRDefault="00AB3287" w:rsidP="00AB3287">
      <w:pPr>
        <w:tabs>
          <w:tab w:val="left" w:pos="6804"/>
          <w:tab w:val="left" w:pos="6946"/>
        </w:tabs>
        <w:spacing w:after="0" w:line="240" w:lineRule="auto"/>
        <w:ind w:firstLine="709"/>
        <w:jc w:val="both"/>
        <w:rPr>
          <w:rFonts w:ascii="Times New Roman" w:hAnsi="Times New Roman" w:cs="Times New Roman"/>
          <w:bCs/>
          <w:sz w:val="24"/>
          <w:szCs w:val="24"/>
        </w:rPr>
      </w:pPr>
      <w:r w:rsidRPr="006036BC">
        <w:rPr>
          <w:rFonts w:ascii="Times New Roman" w:hAnsi="Times New Roman" w:cs="Times New Roman"/>
          <w:b/>
          <w:sz w:val="24"/>
          <w:szCs w:val="24"/>
        </w:rPr>
        <w:t xml:space="preserve">- </w:t>
      </w:r>
      <w:r w:rsidRPr="000A77F6">
        <w:rPr>
          <w:rFonts w:ascii="Times New Roman" w:hAnsi="Times New Roman" w:cs="Times New Roman"/>
          <w:bCs/>
          <w:sz w:val="24"/>
          <w:szCs w:val="24"/>
        </w:rPr>
        <w:t>Р2 пусковой комплекс – 250 МВт;</w:t>
      </w:r>
    </w:p>
    <w:p w14:paraId="6283786D" w14:textId="77777777" w:rsidR="00AB3287" w:rsidRPr="000A77F6" w:rsidRDefault="00AB3287" w:rsidP="00AB3287">
      <w:pPr>
        <w:tabs>
          <w:tab w:val="left" w:pos="6804"/>
          <w:tab w:val="left" w:pos="6946"/>
        </w:tabs>
        <w:spacing w:after="0" w:line="240" w:lineRule="auto"/>
        <w:ind w:firstLine="709"/>
        <w:jc w:val="both"/>
        <w:rPr>
          <w:rFonts w:ascii="Times New Roman" w:hAnsi="Times New Roman" w:cs="Times New Roman"/>
          <w:b/>
          <w:bCs/>
          <w:sz w:val="24"/>
          <w:szCs w:val="24"/>
        </w:rPr>
      </w:pPr>
      <w:r w:rsidRPr="006036BC">
        <w:rPr>
          <w:rFonts w:ascii="Times New Roman" w:hAnsi="Times New Roman" w:cs="Times New Roman"/>
          <w:sz w:val="24"/>
          <w:szCs w:val="24"/>
        </w:rPr>
        <w:t xml:space="preserve">- </w:t>
      </w:r>
      <w:r w:rsidRPr="000A77F6">
        <w:rPr>
          <w:rFonts w:ascii="Times New Roman" w:hAnsi="Times New Roman" w:cs="Times New Roman"/>
          <w:b/>
          <w:bCs/>
          <w:sz w:val="24"/>
          <w:szCs w:val="24"/>
        </w:rPr>
        <w:t>Р3 пусковой комплекс – 300 МВт;</w:t>
      </w:r>
    </w:p>
    <w:p w14:paraId="68AFE149" w14:textId="77777777" w:rsidR="00AB3287" w:rsidRPr="006036BC" w:rsidRDefault="00AB3287" w:rsidP="00AB3287">
      <w:pPr>
        <w:tabs>
          <w:tab w:val="left" w:pos="6804"/>
          <w:tab w:val="left" w:pos="6946"/>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Р4 пусковой комплекс – 200 МВт.</w:t>
      </w:r>
    </w:p>
    <w:p w14:paraId="3E6298BE" w14:textId="4F3DC652" w:rsidR="00AB3287" w:rsidRPr="006036BC" w:rsidRDefault="00AB3287" w:rsidP="00AB3287">
      <w:pPr>
        <w:tabs>
          <w:tab w:val="left" w:pos="6804"/>
          <w:tab w:val="left" w:pos="6946"/>
        </w:tabs>
        <w:spacing w:after="0" w:line="240" w:lineRule="auto"/>
        <w:ind w:firstLine="709"/>
        <w:jc w:val="both"/>
        <w:rPr>
          <w:rFonts w:ascii="Times New Roman" w:hAnsi="Times New Roman" w:cs="Times New Roman"/>
          <w:sz w:val="24"/>
          <w:szCs w:val="24"/>
          <w:u w:val="single"/>
        </w:rPr>
      </w:pPr>
      <w:r w:rsidRPr="006036BC">
        <w:rPr>
          <w:rFonts w:ascii="Times New Roman" w:hAnsi="Times New Roman" w:cs="Times New Roman"/>
          <w:sz w:val="24"/>
          <w:szCs w:val="24"/>
          <w:u w:val="single"/>
        </w:rPr>
        <w:t xml:space="preserve">В рамках настоящего проекта рассматривается </w:t>
      </w:r>
      <w:r w:rsidR="000A77F6">
        <w:rPr>
          <w:rFonts w:ascii="Times New Roman" w:hAnsi="Times New Roman" w:cs="Times New Roman"/>
          <w:sz w:val="24"/>
          <w:szCs w:val="24"/>
          <w:u w:val="single"/>
        </w:rPr>
        <w:t>треть</w:t>
      </w:r>
      <w:r w:rsidRPr="006036BC">
        <w:rPr>
          <w:rFonts w:ascii="Times New Roman" w:hAnsi="Times New Roman" w:cs="Times New Roman"/>
          <w:sz w:val="24"/>
          <w:szCs w:val="24"/>
          <w:u w:val="single"/>
        </w:rPr>
        <w:t>я очередь строительства.</w:t>
      </w:r>
    </w:p>
    <w:p w14:paraId="678A8817"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В состав рабочего проекта входят следующие сооружения:</w:t>
      </w:r>
    </w:p>
    <w:p w14:paraId="4893B6BE"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w:t>
      </w:r>
      <w:r w:rsidRPr="006036BC">
        <w:rPr>
          <w:rFonts w:ascii="Times New Roman" w:hAnsi="Times New Roman" w:cs="Times New Roman"/>
          <w:sz w:val="24"/>
          <w:szCs w:val="24"/>
        </w:rPr>
        <w:tab/>
        <w:t>Ветро-генераторные установки ВЭУ;</w:t>
      </w:r>
    </w:p>
    <w:p w14:paraId="65D66F70"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w:t>
      </w:r>
      <w:r w:rsidRPr="006036BC">
        <w:rPr>
          <w:rFonts w:ascii="Times New Roman" w:hAnsi="Times New Roman" w:cs="Times New Roman"/>
          <w:sz w:val="24"/>
          <w:szCs w:val="24"/>
        </w:rPr>
        <w:tab/>
        <w:t>Внутриплощадочные КЛ-35кВ сбора мощности;</w:t>
      </w:r>
    </w:p>
    <w:p w14:paraId="6E7E0269"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w:t>
      </w:r>
      <w:r w:rsidRPr="006036BC">
        <w:rPr>
          <w:rFonts w:ascii="Times New Roman" w:hAnsi="Times New Roman" w:cs="Times New Roman"/>
          <w:sz w:val="24"/>
          <w:szCs w:val="24"/>
        </w:rPr>
        <w:tab/>
        <w:t>Внутриплощадочные автомобильные дороги;</w:t>
      </w:r>
    </w:p>
    <w:p w14:paraId="732F7778"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w:t>
      </w:r>
      <w:r w:rsidRPr="006036BC">
        <w:rPr>
          <w:rFonts w:ascii="Times New Roman" w:hAnsi="Times New Roman" w:cs="Times New Roman"/>
          <w:sz w:val="24"/>
          <w:szCs w:val="24"/>
        </w:rPr>
        <w:tab/>
        <w:t>Внутриплощадочные ВОЛС.</w:t>
      </w:r>
    </w:p>
    <w:p w14:paraId="30A9C8BA" w14:textId="77777777" w:rsidR="00FC5345" w:rsidRDefault="00FC5345" w:rsidP="00AB3287">
      <w:pPr>
        <w:spacing w:after="0" w:line="240" w:lineRule="auto"/>
        <w:ind w:firstLine="709"/>
        <w:jc w:val="both"/>
        <w:rPr>
          <w:rFonts w:ascii="Times New Roman" w:hAnsi="Times New Roman" w:cs="Times New Roman"/>
          <w:sz w:val="24"/>
          <w:szCs w:val="24"/>
        </w:rPr>
      </w:pPr>
    </w:p>
    <w:p w14:paraId="2958CD89"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Для третьей очереди ВЭС мощностью 300 МВт (сектор P3) рабочим проектом предусмотрена установка 47 ветроэнергетических установок (ВЭУ).</w:t>
      </w:r>
    </w:p>
    <w:p w14:paraId="4ED1C3FB"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Модель и месторасположения ВЭУ были определены на предпроектных работах, выполненных Заказчиком с привлечением специалистов производителя ВЭУ.</w:t>
      </w:r>
    </w:p>
    <w:p w14:paraId="60584B66"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При моделировании размещения ВЭУ были учтены следующие данные:</w:t>
      </w:r>
    </w:p>
    <w:p w14:paraId="36517261"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 скорость, тип, направление, плотность и периодичность ветра, годовые данные с метеомачты, и ветра на территории проектируемой ВЭС;</w:t>
      </w:r>
    </w:p>
    <w:p w14:paraId="6D9DC369"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 особенности местного рельефа;</w:t>
      </w:r>
    </w:p>
    <w:p w14:paraId="585E7A9F"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 оптимизированное расстояние между ВЭУ с целью минимизации потерь от эффекта их взаимного аэродинамического затенения;</w:t>
      </w:r>
    </w:p>
    <w:p w14:paraId="3B92F9C2"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 возможность объединения ВЭУ в группы для организации сетей сбора мощности, организации каналов передачи данных автоматизированных систем.</w:t>
      </w:r>
    </w:p>
    <w:p w14:paraId="108452B5"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Основные характеристики проектируемой ВЭУ:</w:t>
      </w:r>
    </w:p>
    <w:p w14:paraId="3F65AB51"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Модель: Envision EN-182/6.5</w:t>
      </w:r>
    </w:p>
    <w:p w14:paraId="3A6A19CB"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Номинальная мощность: 6,5 МВт при коэффициенте мощности 0,95</w:t>
      </w:r>
    </w:p>
    <w:p w14:paraId="136C52A5"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Трансформаторная подстанция: встроенная</w:t>
      </w:r>
    </w:p>
    <w:p w14:paraId="3DAB4BDF"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Напряжение подключения к сети: 35 кВ</w:t>
      </w:r>
    </w:p>
    <w:p w14:paraId="6F8A923C"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Диаметр ротора: 182 м</w:t>
      </w:r>
    </w:p>
    <w:p w14:paraId="3218FB0A"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Высота оси главного вала: 110 м</w:t>
      </w:r>
    </w:p>
    <w:p w14:paraId="03637033" w14:textId="77777777" w:rsidR="00FC5345" w:rsidRPr="00FC5345" w:rsidRDefault="00FC5345" w:rsidP="00FC5345">
      <w:pPr>
        <w:spacing w:after="0" w:line="240" w:lineRule="auto"/>
        <w:ind w:firstLine="709"/>
        <w:rPr>
          <w:rFonts w:ascii="Times New Roman" w:hAnsi="Times New Roman" w:cs="Times New Roman"/>
          <w:sz w:val="24"/>
          <w:szCs w:val="24"/>
        </w:rPr>
      </w:pPr>
      <w:r w:rsidRPr="00FC5345">
        <w:rPr>
          <w:rFonts w:ascii="Times New Roman" w:hAnsi="Times New Roman" w:cs="Times New Roman"/>
          <w:sz w:val="24"/>
          <w:szCs w:val="24"/>
        </w:rPr>
        <w:t>Общий вес: 700200 кг</w:t>
      </w:r>
    </w:p>
    <w:p w14:paraId="45CA7F10" w14:textId="18D40588" w:rsidR="00FC5345" w:rsidRPr="00FC5345" w:rsidRDefault="00FC5345" w:rsidP="00FC5345">
      <w:pPr>
        <w:spacing w:after="0" w:line="240" w:lineRule="auto"/>
        <w:ind w:firstLine="709"/>
        <w:rPr>
          <w:rFonts w:ascii="Times New Roman" w:hAnsi="Times New Roman" w:cs="Times New Roman"/>
          <w:sz w:val="24"/>
          <w:szCs w:val="24"/>
          <w:lang w:val="en-US"/>
        </w:rPr>
      </w:pPr>
      <w:r w:rsidRPr="00FC5345">
        <w:rPr>
          <w:rFonts w:ascii="Times New Roman" w:hAnsi="Times New Roman" w:cs="Times New Roman"/>
          <w:sz w:val="24"/>
          <w:szCs w:val="24"/>
        </w:rPr>
        <w:t>Производитель</w:t>
      </w:r>
      <w:r w:rsidRPr="00FC5345">
        <w:rPr>
          <w:rFonts w:ascii="Times New Roman" w:hAnsi="Times New Roman" w:cs="Times New Roman"/>
          <w:sz w:val="24"/>
          <w:szCs w:val="24"/>
          <w:lang w:val="en-US"/>
        </w:rPr>
        <w:t>: Envision Energy Co., Ltd (</w:t>
      </w:r>
      <w:r w:rsidRPr="00FC5345">
        <w:rPr>
          <w:rFonts w:ascii="Times New Roman" w:hAnsi="Times New Roman" w:cs="Times New Roman"/>
          <w:sz w:val="24"/>
          <w:szCs w:val="24"/>
        </w:rPr>
        <w:t>КНР</w:t>
      </w:r>
      <w:r w:rsidRPr="00FC5345">
        <w:rPr>
          <w:rFonts w:ascii="Times New Roman" w:hAnsi="Times New Roman" w:cs="Times New Roman"/>
          <w:sz w:val="24"/>
          <w:szCs w:val="24"/>
          <w:lang w:val="en-US"/>
        </w:rPr>
        <w:t>).</w:t>
      </w:r>
    </w:p>
    <w:p w14:paraId="4209587A" w14:textId="77777777" w:rsidR="00FC5345" w:rsidRPr="00FC5345" w:rsidRDefault="00FC5345" w:rsidP="00AB3287">
      <w:pPr>
        <w:spacing w:after="0" w:line="240" w:lineRule="auto"/>
        <w:ind w:firstLine="709"/>
        <w:jc w:val="both"/>
        <w:rPr>
          <w:rFonts w:ascii="Times New Roman" w:hAnsi="Times New Roman" w:cs="Times New Roman"/>
          <w:sz w:val="24"/>
          <w:szCs w:val="24"/>
          <w:lang w:val="en-US"/>
        </w:rPr>
      </w:pPr>
    </w:p>
    <w:p w14:paraId="4063A05B"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Ветроэнергетическая установка состоит из ветрового колеса (три лопасти с единой втулкой), гондолы, системы механической передачи, системы выработки электроэнергии, электрооборудования, ветро-измерительной системы, гидравлической и тормозной системы, системы охлаждения и смазки механического оборудования, кожуха и рамы машинного отделения, системы управления и защиты, систем безопасности, системы связи, башни и фундамента, входной группой (с лестницей и дверью).</w:t>
      </w:r>
    </w:p>
    <w:p w14:paraId="490B8824"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На каждой ВЭУ предусмотрены маркировка лопастей и заградительные огни предупреждения о препятствии для воздушных судов, интегрированные с электрической системой и системой мониторинга SCADA.</w:t>
      </w:r>
    </w:p>
    <w:p w14:paraId="5A72B90C"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 xml:space="preserve">Конструкция фундамента ВЭУ – круглая в плане сплошная фундаментная плита диаметром 24.4 м переменной толщины (от 300 мм до 2700 мм) с расположенном на ней пьедестала </w:t>
      </w:r>
      <w:r w:rsidRPr="00A157E9">
        <w:rPr>
          <w:rFonts w:ascii="Times New Roman" w:hAnsi="Times New Roman" w:cs="Times New Roman"/>
          <w:sz w:val="24"/>
          <w:szCs w:val="24"/>
        </w:rPr>
        <w:lastRenderedPageBreak/>
        <w:t>высотой 900 мм. Под фундаментом выполнена бетонная подготовка из бетона класса С16/20 толщиной 100 мм с габаритом, превышающим размер фундамента на 800 мм.</w:t>
      </w:r>
    </w:p>
    <w:p w14:paraId="7E31F7BE"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В рамках рассматриваемого проекта предусматривается устройство монтажных площадок. Монтажная площадка в данном объекте имеет 2 типа в зависимости от стороны подвоза лопастей на площадку:</w:t>
      </w:r>
    </w:p>
    <w:p w14:paraId="5DFA33ED"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 Тип-1 - Монтажная площадка со стороны площадки для сборки стрелы основного крана;</w:t>
      </w:r>
    </w:p>
    <w:p w14:paraId="62A6E755"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 Тип-2 - Монтажная площадка со стороны ВЭУ.</w:t>
      </w:r>
    </w:p>
    <w:p w14:paraId="380598B9"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Размеры площадки Типа 1 в самой широкой части – 195,0 м в длину, 65,5 м – в ширину. Размеры площадки Типа 2 в самой широкой части – 205,0 м в длину, 65,5 м – в ширину.</w:t>
      </w:r>
    </w:p>
    <w:p w14:paraId="49C0B9D0"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Монтажная площадка состоит из следующих элементов:</w:t>
      </w:r>
    </w:p>
    <w:p w14:paraId="01A53AC8"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 Площадка для размещения фундамента ВЭУ;</w:t>
      </w:r>
    </w:p>
    <w:p w14:paraId="3ACCB272"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 Площадка работы основного крана;</w:t>
      </w:r>
    </w:p>
    <w:p w14:paraId="59E68433"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 Площадка работы вспомогательного крана;</w:t>
      </w:r>
    </w:p>
    <w:p w14:paraId="7B6A7416"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 Площадка для складирования и производства монтажных работ;</w:t>
      </w:r>
    </w:p>
    <w:p w14:paraId="3DF46ED9" w14:textId="77777777" w:rsidR="00A157E9" w:rsidRPr="00A157E9"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 Вспомогательная площадка для складирования;</w:t>
      </w:r>
    </w:p>
    <w:p w14:paraId="2E57E758" w14:textId="23C74CAE" w:rsidR="00AB3287" w:rsidRPr="006036BC" w:rsidRDefault="00A157E9" w:rsidP="00A157E9">
      <w:pPr>
        <w:spacing w:after="0" w:line="240" w:lineRule="auto"/>
        <w:jc w:val="both"/>
        <w:rPr>
          <w:rFonts w:ascii="Times New Roman" w:hAnsi="Times New Roman" w:cs="Times New Roman"/>
          <w:sz w:val="24"/>
          <w:szCs w:val="24"/>
        </w:rPr>
      </w:pPr>
      <w:r w:rsidRPr="00A157E9">
        <w:rPr>
          <w:rFonts w:ascii="Times New Roman" w:hAnsi="Times New Roman" w:cs="Times New Roman"/>
          <w:sz w:val="24"/>
          <w:szCs w:val="24"/>
        </w:rPr>
        <w:t xml:space="preserve">Всего проектом в границах сектора Р3 предусмотрено устройство 47 монтажных площадок. Устройство монтажных площадок предусмотрено одновременно с устройством межплощадочных вспомогательных автомобильных </w:t>
      </w:r>
      <w:r>
        <w:rPr>
          <w:rFonts w:ascii="Times New Roman" w:hAnsi="Times New Roman" w:cs="Times New Roman"/>
          <w:sz w:val="24"/>
          <w:szCs w:val="24"/>
        </w:rPr>
        <w:t>дорог.</w:t>
      </w:r>
    </w:p>
    <w:p w14:paraId="7D52E512" w14:textId="77777777" w:rsidR="00AB3287" w:rsidRPr="006036BC" w:rsidRDefault="00AB3287" w:rsidP="00AB3287">
      <w:pPr>
        <w:spacing w:after="0" w:line="240" w:lineRule="auto"/>
        <w:ind w:firstLine="709"/>
        <w:jc w:val="both"/>
        <w:rPr>
          <w:rFonts w:ascii="Times New Roman" w:hAnsi="Times New Roman" w:cs="Times New Roman"/>
          <w:i/>
          <w:sz w:val="24"/>
          <w:szCs w:val="24"/>
          <w:highlight w:val="yellow"/>
          <w:u w:val="single"/>
        </w:rPr>
      </w:pPr>
    </w:p>
    <w:p w14:paraId="18464C28" w14:textId="77777777" w:rsidR="0084796D" w:rsidRPr="0084796D" w:rsidRDefault="0084796D" w:rsidP="0084796D">
      <w:pPr>
        <w:spacing w:after="0" w:line="240" w:lineRule="auto"/>
        <w:ind w:firstLine="709"/>
        <w:jc w:val="both"/>
        <w:rPr>
          <w:rFonts w:ascii="Times New Roman" w:hAnsi="Times New Roman" w:cs="Times New Roman"/>
          <w:i/>
          <w:sz w:val="24"/>
          <w:szCs w:val="24"/>
          <w:u w:val="single"/>
        </w:rPr>
      </w:pPr>
      <w:r w:rsidRPr="0084796D">
        <w:rPr>
          <w:rFonts w:ascii="Times New Roman" w:hAnsi="Times New Roman" w:cs="Times New Roman"/>
          <w:i/>
          <w:sz w:val="24"/>
          <w:szCs w:val="24"/>
          <w:u w:val="single"/>
        </w:rPr>
        <w:t>Внутриплощадочные автомобильные дороги</w:t>
      </w:r>
    </w:p>
    <w:p w14:paraId="702AD607" w14:textId="5BE46BFA" w:rsidR="00AB3287" w:rsidRPr="00DE7503" w:rsidRDefault="0084796D" w:rsidP="0084796D">
      <w:pPr>
        <w:spacing w:after="0" w:line="240" w:lineRule="auto"/>
        <w:ind w:firstLine="709"/>
        <w:jc w:val="both"/>
        <w:rPr>
          <w:rFonts w:ascii="Times New Roman" w:hAnsi="Times New Roman" w:cs="Times New Roman"/>
          <w:sz w:val="24"/>
          <w:szCs w:val="24"/>
        </w:rPr>
      </w:pPr>
      <w:r w:rsidRPr="00DE7503">
        <w:rPr>
          <w:rFonts w:ascii="Times New Roman" w:hAnsi="Times New Roman" w:cs="Times New Roman"/>
          <w:sz w:val="24"/>
          <w:szCs w:val="24"/>
        </w:rPr>
        <w:t>На ВЭС «Мирный» в качестве основной дороги предусмотрен Проезд 00, который стыкуется с Подъездной дорогой, и проходит до ПС Северная. Проезд 00 и Подъездная дорога разрабатываются по отдельному титулу «Строительство ВЭС «Мирный» 1 ГВт в Жамбылской области. 1-я очередь. ВЭС 250 МВт и подъездная дорога». Для данных основных дорог назначена категория III-в.</w:t>
      </w:r>
      <w:r w:rsidR="00AB3287" w:rsidRPr="00DE7503">
        <w:rPr>
          <w:rFonts w:ascii="Times New Roman" w:hAnsi="Times New Roman" w:cs="Times New Roman"/>
          <w:sz w:val="24"/>
          <w:szCs w:val="24"/>
        </w:rPr>
        <w:t>Внутриплощадочные автомобильные дороги</w:t>
      </w:r>
    </w:p>
    <w:p w14:paraId="6FEF19E4" w14:textId="608C6BA4" w:rsidR="0084796D" w:rsidRDefault="00DE7503" w:rsidP="00AB3287">
      <w:pPr>
        <w:spacing w:after="0" w:line="240" w:lineRule="auto"/>
        <w:ind w:firstLine="709"/>
        <w:jc w:val="both"/>
        <w:rPr>
          <w:rFonts w:ascii="Times New Roman" w:hAnsi="Times New Roman" w:cs="Times New Roman"/>
          <w:sz w:val="24"/>
          <w:szCs w:val="24"/>
        </w:rPr>
      </w:pPr>
      <w:r w:rsidRPr="00DE7503">
        <w:rPr>
          <w:rFonts w:ascii="Times New Roman" w:hAnsi="Times New Roman" w:cs="Times New Roman"/>
          <w:sz w:val="24"/>
          <w:szCs w:val="24"/>
        </w:rPr>
        <w:t>В качестве межплощадочных вспомогательных автомобильных дорог 3-ей очереди строительства предусмотрены Проезды 37-39, 49-58, 60-67, проходящие по территории Объекта. В соответствии с таблицей 22 СП РК 3.03-122-2013 «Промышленный транспорт» категория дорог назначена IV-в, как вспомогательные автомобильные дороги и дороги с невыраженным грузооборотом. Они предназначены как для проведения строительно-монтажных работ, так и для обслуживания ветряных электрических установок (ВЭУ) при их дальнейшей эксплуатации.</w:t>
      </w:r>
    </w:p>
    <w:p w14:paraId="06419897" w14:textId="77777777" w:rsidR="0084796D" w:rsidRDefault="0084796D" w:rsidP="00AB3287">
      <w:pPr>
        <w:spacing w:after="0" w:line="240" w:lineRule="auto"/>
        <w:ind w:firstLine="709"/>
        <w:jc w:val="both"/>
        <w:rPr>
          <w:rFonts w:ascii="Times New Roman" w:hAnsi="Times New Roman" w:cs="Times New Roman"/>
          <w:sz w:val="24"/>
          <w:szCs w:val="24"/>
        </w:rPr>
      </w:pPr>
    </w:p>
    <w:p w14:paraId="4AFFA913" w14:textId="42C121FC"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Таблица 1.1 - Основные параметры дорог</w:t>
      </w:r>
    </w:p>
    <w:tbl>
      <w:tblPr>
        <w:tblpPr w:leftFromText="180" w:rightFromText="180" w:vertAnchor="text" w:tblpXSpec="center"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4"/>
        <w:gridCol w:w="2706"/>
        <w:gridCol w:w="2050"/>
        <w:gridCol w:w="2054"/>
        <w:gridCol w:w="2151"/>
      </w:tblGrid>
      <w:tr w:rsidR="00AB3287" w:rsidRPr="006036BC" w14:paraId="68E9A9F0" w14:textId="77777777" w:rsidTr="00AB3287">
        <w:trPr>
          <w:trHeight w:val="274"/>
        </w:trPr>
        <w:tc>
          <w:tcPr>
            <w:tcW w:w="205" w:type="pct"/>
            <w:vMerge w:val="restart"/>
            <w:vAlign w:val="center"/>
          </w:tcPr>
          <w:p w14:paraId="4D06242E"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w:t>
            </w:r>
          </w:p>
          <w:p w14:paraId="7FA6D03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п.п.</w:t>
            </w:r>
          </w:p>
        </w:tc>
        <w:tc>
          <w:tcPr>
            <w:tcW w:w="1448" w:type="pct"/>
            <w:vMerge w:val="restart"/>
            <w:vAlign w:val="center"/>
          </w:tcPr>
          <w:p w14:paraId="3D8F20E7"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Наименование параметров</w:t>
            </w:r>
          </w:p>
        </w:tc>
        <w:tc>
          <w:tcPr>
            <w:tcW w:w="3347" w:type="pct"/>
            <w:gridSpan w:val="3"/>
            <w:vAlign w:val="center"/>
          </w:tcPr>
          <w:p w14:paraId="36EE240C"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Вспомогательные дороги</w:t>
            </w:r>
          </w:p>
        </w:tc>
      </w:tr>
      <w:tr w:rsidR="00AB3287" w:rsidRPr="006036BC" w14:paraId="39C89C47" w14:textId="77777777" w:rsidTr="00AB3287">
        <w:trPr>
          <w:trHeight w:val="416"/>
        </w:trPr>
        <w:tc>
          <w:tcPr>
            <w:tcW w:w="205" w:type="pct"/>
            <w:vMerge/>
            <w:vAlign w:val="center"/>
          </w:tcPr>
          <w:p w14:paraId="67294443"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p>
        </w:tc>
        <w:tc>
          <w:tcPr>
            <w:tcW w:w="1448" w:type="pct"/>
            <w:vMerge/>
            <w:vAlign w:val="center"/>
          </w:tcPr>
          <w:p w14:paraId="352CA3A5"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p>
        </w:tc>
        <w:tc>
          <w:tcPr>
            <w:tcW w:w="1097" w:type="pct"/>
          </w:tcPr>
          <w:p w14:paraId="0C8EBA9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Требования поставщиков</w:t>
            </w:r>
          </w:p>
        </w:tc>
        <w:tc>
          <w:tcPr>
            <w:tcW w:w="1099" w:type="pct"/>
          </w:tcPr>
          <w:p w14:paraId="5A994843"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 xml:space="preserve">По </w:t>
            </w:r>
          </w:p>
          <w:p w14:paraId="45761386" w14:textId="77777777" w:rsidR="00AB3287" w:rsidRPr="006036BC" w:rsidRDefault="00AB3287" w:rsidP="00AB3287">
            <w:pPr>
              <w:pBdr>
                <w:top w:val="nil"/>
                <w:left w:val="nil"/>
                <w:bottom w:val="nil"/>
                <w:right w:val="nil"/>
                <w:between w:val="nil"/>
              </w:pBdr>
              <w:spacing w:after="0" w:line="240" w:lineRule="auto"/>
              <w:ind w:left="-82" w:right="-152"/>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СП РК 3.03-122-2013</w:t>
            </w:r>
          </w:p>
        </w:tc>
        <w:tc>
          <w:tcPr>
            <w:tcW w:w="1151" w:type="pct"/>
            <w:vAlign w:val="center"/>
          </w:tcPr>
          <w:p w14:paraId="5DD7C5B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Принятые в проекте</w:t>
            </w:r>
          </w:p>
        </w:tc>
      </w:tr>
      <w:tr w:rsidR="00AB3287" w:rsidRPr="006036BC" w14:paraId="2B6191A5" w14:textId="77777777" w:rsidTr="00AB3287">
        <w:trPr>
          <w:trHeight w:val="547"/>
        </w:trPr>
        <w:tc>
          <w:tcPr>
            <w:tcW w:w="205" w:type="pct"/>
            <w:vAlign w:val="center"/>
          </w:tcPr>
          <w:p w14:paraId="60201C5E"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rPr>
                <w:rFonts w:ascii="Times New Roman" w:eastAsia="Arial" w:hAnsi="Times New Roman" w:cs="Times New Roman"/>
                <w:sz w:val="24"/>
                <w:szCs w:val="24"/>
              </w:rPr>
            </w:pPr>
          </w:p>
        </w:tc>
        <w:tc>
          <w:tcPr>
            <w:tcW w:w="1448" w:type="pct"/>
            <w:vAlign w:val="center"/>
          </w:tcPr>
          <w:p w14:paraId="4AED346A"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Категория дороги</w:t>
            </w:r>
          </w:p>
        </w:tc>
        <w:tc>
          <w:tcPr>
            <w:tcW w:w="3347" w:type="pct"/>
            <w:gridSpan w:val="3"/>
            <w:vAlign w:val="center"/>
          </w:tcPr>
          <w:p w14:paraId="0900A06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IV-в</w:t>
            </w:r>
          </w:p>
          <w:p w14:paraId="781727D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Межплощадочные вспомогательные автомобильные дороги (внутренние проезды) с невыраженным грузооборотом</w:t>
            </w:r>
          </w:p>
        </w:tc>
      </w:tr>
      <w:tr w:rsidR="00AB3287" w:rsidRPr="006036BC" w14:paraId="4DD52002" w14:textId="77777777" w:rsidTr="00AB3287">
        <w:tc>
          <w:tcPr>
            <w:tcW w:w="205" w:type="pct"/>
            <w:vAlign w:val="center"/>
          </w:tcPr>
          <w:p w14:paraId="591D35B1"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50A19D78"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Расчетная скорость движения, км/ч</w:t>
            </w:r>
          </w:p>
        </w:tc>
        <w:tc>
          <w:tcPr>
            <w:tcW w:w="1097" w:type="pct"/>
            <w:vAlign w:val="center"/>
          </w:tcPr>
          <w:p w14:paraId="6322DA1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w:t>
            </w:r>
          </w:p>
        </w:tc>
        <w:tc>
          <w:tcPr>
            <w:tcW w:w="1099" w:type="pct"/>
            <w:vAlign w:val="center"/>
          </w:tcPr>
          <w:p w14:paraId="4B15617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c>
          <w:tcPr>
            <w:tcW w:w="1151" w:type="pct"/>
            <w:vAlign w:val="center"/>
          </w:tcPr>
          <w:p w14:paraId="0E4A275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r>
      <w:tr w:rsidR="00AB3287" w:rsidRPr="006036BC" w14:paraId="436F854D" w14:textId="77777777" w:rsidTr="00AB3287">
        <w:tc>
          <w:tcPr>
            <w:tcW w:w="205" w:type="pct"/>
            <w:vAlign w:val="center"/>
          </w:tcPr>
          <w:p w14:paraId="0439C4EC"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37443D32"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Число полос движения, шт.</w:t>
            </w:r>
          </w:p>
        </w:tc>
        <w:tc>
          <w:tcPr>
            <w:tcW w:w="1097" w:type="pct"/>
            <w:vAlign w:val="center"/>
          </w:tcPr>
          <w:p w14:paraId="4FEC682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w:t>
            </w:r>
          </w:p>
        </w:tc>
        <w:tc>
          <w:tcPr>
            <w:tcW w:w="1099" w:type="pct"/>
            <w:vAlign w:val="center"/>
          </w:tcPr>
          <w:p w14:paraId="3B637FF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w:t>
            </w:r>
          </w:p>
        </w:tc>
        <w:tc>
          <w:tcPr>
            <w:tcW w:w="1151" w:type="pct"/>
            <w:vAlign w:val="center"/>
          </w:tcPr>
          <w:p w14:paraId="73313FF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w:t>
            </w:r>
          </w:p>
        </w:tc>
      </w:tr>
      <w:tr w:rsidR="00AB3287" w:rsidRPr="006036BC" w14:paraId="24EFBC54" w14:textId="77777777" w:rsidTr="00AB3287">
        <w:tc>
          <w:tcPr>
            <w:tcW w:w="205" w:type="pct"/>
            <w:vAlign w:val="center"/>
          </w:tcPr>
          <w:p w14:paraId="2859B902"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151B59FF"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Ширина полос движения, м</w:t>
            </w:r>
          </w:p>
        </w:tc>
        <w:tc>
          <w:tcPr>
            <w:tcW w:w="1097" w:type="pct"/>
            <w:vAlign w:val="center"/>
          </w:tcPr>
          <w:p w14:paraId="55583E1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4,50</w:t>
            </w:r>
          </w:p>
        </w:tc>
        <w:tc>
          <w:tcPr>
            <w:tcW w:w="1099" w:type="pct"/>
            <w:vAlign w:val="center"/>
          </w:tcPr>
          <w:p w14:paraId="3551CF0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4,50</w:t>
            </w:r>
          </w:p>
        </w:tc>
        <w:tc>
          <w:tcPr>
            <w:tcW w:w="1151" w:type="pct"/>
            <w:vAlign w:val="center"/>
          </w:tcPr>
          <w:p w14:paraId="1E7FB92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4,50</w:t>
            </w:r>
          </w:p>
        </w:tc>
      </w:tr>
      <w:tr w:rsidR="00AB3287" w:rsidRPr="006036BC" w14:paraId="38EE9912" w14:textId="77777777" w:rsidTr="00AB3287">
        <w:tc>
          <w:tcPr>
            <w:tcW w:w="205" w:type="pct"/>
            <w:vAlign w:val="center"/>
          </w:tcPr>
          <w:p w14:paraId="1C18B936"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7B860629"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Ширина проезжей части, м</w:t>
            </w:r>
          </w:p>
        </w:tc>
        <w:tc>
          <w:tcPr>
            <w:tcW w:w="1097" w:type="pct"/>
            <w:vAlign w:val="center"/>
          </w:tcPr>
          <w:p w14:paraId="5FA73FEA"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lang w:val="en-US"/>
              </w:rPr>
              <w:t>4</w:t>
            </w:r>
            <w:r w:rsidRPr="006036BC">
              <w:rPr>
                <w:rFonts w:ascii="Times New Roman" w:eastAsia="Arial" w:hAnsi="Times New Roman" w:cs="Times New Roman"/>
                <w:sz w:val="24"/>
                <w:szCs w:val="24"/>
              </w:rPr>
              <w:t>,</w:t>
            </w:r>
            <w:r w:rsidRPr="006036BC">
              <w:rPr>
                <w:rFonts w:ascii="Times New Roman" w:eastAsia="Arial" w:hAnsi="Times New Roman" w:cs="Times New Roman"/>
                <w:sz w:val="24"/>
                <w:szCs w:val="24"/>
                <w:lang w:val="en-US"/>
              </w:rPr>
              <w:t>5</w:t>
            </w:r>
            <w:r w:rsidRPr="006036BC">
              <w:rPr>
                <w:rFonts w:ascii="Times New Roman" w:eastAsia="Arial" w:hAnsi="Times New Roman" w:cs="Times New Roman"/>
                <w:sz w:val="24"/>
                <w:szCs w:val="24"/>
              </w:rPr>
              <w:t>0</w:t>
            </w:r>
          </w:p>
        </w:tc>
        <w:tc>
          <w:tcPr>
            <w:tcW w:w="1099" w:type="pct"/>
            <w:vAlign w:val="center"/>
          </w:tcPr>
          <w:p w14:paraId="2E4BD8F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lang w:val="en-US"/>
              </w:rPr>
              <w:t>4</w:t>
            </w:r>
            <w:r w:rsidRPr="006036BC">
              <w:rPr>
                <w:rFonts w:ascii="Times New Roman" w:eastAsia="Arial" w:hAnsi="Times New Roman" w:cs="Times New Roman"/>
                <w:sz w:val="24"/>
                <w:szCs w:val="24"/>
              </w:rPr>
              <w:t>,50</w:t>
            </w:r>
          </w:p>
        </w:tc>
        <w:tc>
          <w:tcPr>
            <w:tcW w:w="1151" w:type="pct"/>
            <w:vAlign w:val="center"/>
          </w:tcPr>
          <w:p w14:paraId="2ECE3C5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lang w:val="en-US"/>
              </w:rPr>
              <w:t>4</w:t>
            </w:r>
            <w:r w:rsidRPr="006036BC">
              <w:rPr>
                <w:rFonts w:ascii="Times New Roman" w:eastAsia="Arial" w:hAnsi="Times New Roman" w:cs="Times New Roman"/>
                <w:sz w:val="24"/>
                <w:szCs w:val="24"/>
              </w:rPr>
              <w:t>,50</w:t>
            </w:r>
          </w:p>
        </w:tc>
      </w:tr>
      <w:tr w:rsidR="00AB3287" w:rsidRPr="006036BC" w14:paraId="6E8C2BF9" w14:textId="77777777" w:rsidTr="00AB3287">
        <w:tc>
          <w:tcPr>
            <w:tcW w:w="205" w:type="pct"/>
            <w:vAlign w:val="center"/>
          </w:tcPr>
          <w:p w14:paraId="347326D9"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40A62E78"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Ширина обочины, м</w:t>
            </w:r>
          </w:p>
        </w:tc>
        <w:tc>
          <w:tcPr>
            <w:tcW w:w="1097" w:type="pct"/>
            <w:vAlign w:val="center"/>
          </w:tcPr>
          <w:p w14:paraId="4251910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0,50</w:t>
            </w:r>
          </w:p>
        </w:tc>
        <w:tc>
          <w:tcPr>
            <w:tcW w:w="1099" w:type="pct"/>
            <w:vAlign w:val="center"/>
          </w:tcPr>
          <w:p w14:paraId="4E36894C"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c>
          <w:tcPr>
            <w:tcW w:w="1151" w:type="pct"/>
            <w:vAlign w:val="center"/>
          </w:tcPr>
          <w:p w14:paraId="1D3DFFD4"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r>
      <w:tr w:rsidR="00AB3287" w:rsidRPr="006036BC" w14:paraId="272F71A4" w14:textId="77777777" w:rsidTr="00AB3287">
        <w:tc>
          <w:tcPr>
            <w:tcW w:w="205" w:type="pct"/>
            <w:vAlign w:val="center"/>
          </w:tcPr>
          <w:p w14:paraId="127FE5FF"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4FA728E6"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Наибольший продольный уклон с колесной формулой автомобиля 4х4 и 6х6, ‰</w:t>
            </w:r>
          </w:p>
        </w:tc>
        <w:tc>
          <w:tcPr>
            <w:tcW w:w="1097" w:type="pct"/>
            <w:vAlign w:val="center"/>
          </w:tcPr>
          <w:p w14:paraId="5AD8E16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140</w:t>
            </w:r>
          </w:p>
        </w:tc>
        <w:tc>
          <w:tcPr>
            <w:tcW w:w="1099" w:type="pct"/>
            <w:vAlign w:val="center"/>
          </w:tcPr>
          <w:p w14:paraId="4D4C5B8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c>
          <w:tcPr>
            <w:tcW w:w="1151" w:type="pct"/>
            <w:vAlign w:val="center"/>
          </w:tcPr>
          <w:p w14:paraId="0560107B"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 xml:space="preserve">100 </w:t>
            </w:r>
          </w:p>
          <w:p w14:paraId="5164E84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(на участках подъема более 80 требуется дополнительное, страховочное или тяговое усилие)</w:t>
            </w:r>
          </w:p>
        </w:tc>
      </w:tr>
      <w:tr w:rsidR="00AB3287" w:rsidRPr="006036BC" w14:paraId="3EC0FEAE" w14:textId="77777777" w:rsidTr="00AB3287">
        <w:tc>
          <w:tcPr>
            <w:tcW w:w="205" w:type="pct"/>
            <w:vAlign w:val="center"/>
          </w:tcPr>
          <w:p w14:paraId="62275A7F"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1AC7A3A3"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Поперечный уклон проезжей части, ‰</w:t>
            </w:r>
          </w:p>
        </w:tc>
        <w:tc>
          <w:tcPr>
            <w:tcW w:w="1097" w:type="pct"/>
            <w:vAlign w:val="center"/>
          </w:tcPr>
          <w:p w14:paraId="77DD747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20</w:t>
            </w:r>
          </w:p>
        </w:tc>
        <w:tc>
          <w:tcPr>
            <w:tcW w:w="1099" w:type="pct"/>
            <w:vAlign w:val="center"/>
          </w:tcPr>
          <w:p w14:paraId="05C9C151"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c>
          <w:tcPr>
            <w:tcW w:w="1151" w:type="pct"/>
            <w:vAlign w:val="center"/>
          </w:tcPr>
          <w:p w14:paraId="2809EA03"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p w14:paraId="1F6347AA" w14:textId="77777777" w:rsidR="00AB3287" w:rsidRPr="006036BC" w:rsidRDefault="00AB3287" w:rsidP="00AB3287">
            <w:pPr>
              <w:pBdr>
                <w:top w:val="nil"/>
                <w:left w:val="nil"/>
                <w:bottom w:val="nil"/>
                <w:right w:val="nil"/>
                <w:between w:val="nil"/>
              </w:pBdr>
              <w:spacing w:after="0" w:line="240" w:lineRule="auto"/>
              <w:ind w:left="-35" w:right="-112"/>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(серповидный профиль)</w:t>
            </w:r>
          </w:p>
        </w:tc>
      </w:tr>
      <w:tr w:rsidR="00AB3287" w:rsidRPr="006036BC" w14:paraId="130D6753" w14:textId="77777777" w:rsidTr="00AB3287">
        <w:tc>
          <w:tcPr>
            <w:tcW w:w="205" w:type="pct"/>
            <w:vAlign w:val="center"/>
          </w:tcPr>
          <w:p w14:paraId="0CF71C5A"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7F075294"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Поперечный уклон обочины, ‰</w:t>
            </w:r>
          </w:p>
        </w:tc>
        <w:tc>
          <w:tcPr>
            <w:tcW w:w="1097" w:type="pct"/>
            <w:vAlign w:val="center"/>
          </w:tcPr>
          <w:p w14:paraId="56F7E63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20</w:t>
            </w:r>
          </w:p>
        </w:tc>
        <w:tc>
          <w:tcPr>
            <w:tcW w:w="1099" w:type="pct"/>
            <w:vAlign w:val="center"/>
          </w:tcPr>
          <w:p w14:paraId="7F47759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c>
          <w:tcPr>
            <w:tcW w:w="1151" w:type="pct"/>
            <w:vAlign w:val="center"/>
          </w:tcPr>
          <w:p w14:paraId="73760E3E"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r>
      <w:tr w:rsidR="00AB3287" w:rsidRPr="006036BC" w14:paraId="76E2EAE8" w14:textId="77777777" w:rsidTr="00AB3287">
        <w:tc>
          <w:tcPr>
            <w:tcW w:w="205" w:type="pct"/>
            <w:vAlign w:val="center"/>
          </w:tcPr>
          <w:p w14:paraId="044185F1"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60BC1729"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Заложение откосов насыпи</w:t>
            </w:r>
          </w:p>
        </w:tc>
        <w:tc>
          <w:tcPr>
            <w:tcW w:w="1097" w:type="pct"/>
            <w:vAlign w:val="center"/>
          </w:tcPr>
          <w:p w14:paraId="2AD16AF8"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1:1,50</w:t>
            </w:r>
          </w:p>
        </w:tc>
        <w:tc>
          <w:tcPr>
            <w:tcW w:w="1099" w:type="pct"/>
            <w:vAlign w:val="center"/>
          </w:tcPr>
          <w:p w14:paraId="3F01753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1:1,50</w:t>
            </w:r>
          </w:p>
        </w:tc>
        <w:tc>
          <w:tcPr>
            <w:tcW w:w="1151" w:type="pct"/>
            <w:vAlign w:val="center"/>
          </w:tcPr>
          <w:p w14:paraId="35FAF05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1:1,50</w:t>
            </w:r>
          </w:p>
        </w:tc>
      </w:tr>
      <w:tr w:rsidR="00AB3287" w:rsidRPr="006036BC" w14:paraId="374A78B5" w14:textId="77777777" w:rsidTr="00AB3287">
        <w:tc>
          <w:tcPr>
            <w:tcW w:w="205" w:type="pct"/>
            <w:vAlign w:val="center"/>
          </w:tcPr>
          <w:p w14:paraId="7A5AB40C"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04BA349D" w14:textId="77777777" w:rsidR="00AB3287" w:rsidRPr="006036BC" w:rsidRDefault="00AB3287" w:rsidP="00AB3287">
            <w:pPr>
              <w:pBdr>
                <w:top w:val="nil"/>
                <w:left w:val="nil"/>
                <w:bottom w:val="nil"/>
                <w:right w:val="nil"/>
                <w:between w:val="nil"/>
              </w:pBdr>
              <w:spacing w:after="0" w:line="240" w:lineRule="auto"/>
              <w:ind w:right="-102"/>
              <w:rPr>
                <w:rFonts w:ascii="Times New Roman" w:eastAsia="Arial" w:hAnsi="Times New Roman" w:cs="Times New Roman"/>
                <w:sz w:val="24"/>
                <w:szCs w:val="24"/>
              </w:rPr>
            </w:pPr>
            <w:r w:rsidRPr="006036BC">
              <w:rPr>
                <w:rFonts w:ascii="Times New Roman" w:eastAsia="Arial" w:hAnsi="Times New Roman" w:cs="Times New Roman"/>
                <w:sz w:val="24"/>
                <w:szCs w:val="24"/>
              </w:rPr>
              <w:t>Расстояние видимости, м:</w:t>
            </w:r>
          </w:p>
          <w:p w14:paraId="76810F13"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 поверхности дороги;</w:t>
            </w:r>
          </w:p>
          <w:p w14:paraId="502C33E7"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 встречного автомобиля</w:t>
            </w:r>
          </w:p>
        </w:tc>
        <w:tc>
          <w:tcPr>
            <w:tcW w:w="1097" w:type="pct"/>
            <w:vAlign w:val="center"/>
          </w:tcPr>
          <w:p w14:paraId="4AD00341"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p>
        </w:tc>
        <w:tc>
          <w:tcPr>
            <w:tcW w:w="1099" w:type="pct"/>
            <w:vAlign w:val="center"/>
          </w:tcPr>
          <w:p w14:paraId="2919A264"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p>
          <w:p w14:paraId="57779EA2"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w:t>
            </w:r>
          </w:p>
          <w:p w14:paraId="230D918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c>
          <w:tcPr>
            <w:tcW w:w="1151" w:type="pct"/>
            <w:vAlign w:val="center"/>
          </w:tcPr>
          <w:p w14:paraId="5A95D338"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p>
          <w:p w14:paraId="40D4F4FE"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w:t>
            </w:r>
          </w:p>
          <w:p w14:paraId="44C7927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r>
      <w:tr w:rsidR="00AB3287" w:rsidRPr="006036BC" w14:paraId="4836F666" w14:textId="77777777" w:rsidTr="00AB3287">
        <w:tc>
          <w:tcPr>
            <w:tcW w:w="205" w:type="pct"/>
            <w:vAlign w:val="center"/>
          </w:tcPr>
          <w:p w14:paraId="3F05884D"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524AD5ED"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Наименьшие радиусы кривых в плане. м</w:t>
            </w:r>
          </w:p>
        </w:tc>
        <w:tc>
          <w:tcPr>
            <w:tcW w:w="1097" w:type="pct"/>
            <w:vAlign w:val="center"/>
          </w:tcPr>
          <w:p w14:paraId="1BFDCAC7"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240</w:t>
            </w:r>
          </w:p>
        </w:tc>
        <w:tc>
          <w:tcPr>
            <w:tcW w:w="1099" w:type="pct"/>
            <w:vAlign w:val="center"/>
          </w:tcPr>
          <w:p w14:paraId="7258FA6C"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w:t>
            </w:r>
          </w:p>
        </w:tc>
        <w:tc>
          <w:tcPr>
            <w:tcW w:w="1151" w:type="pct"/>
            <w:vAlign w:val="center"/>
          </w:tcPr>
          <w:p w14:paraId="5A8C020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250</w:t>
            </w:r>
          </w:p>
        </w:tc>
      </w:tr>
      <w:tr w:rsidR="00AB3287" w:rsidRPr="006036BC" w14:paraId="69059D18" w14:textId="77777777" w:rsidTr="00AB3287">
        <w:tc>
          <w:tcPr>
            <w:tcW w:w="205" w:type="pct"/>
            <w:vAlign w:val="center"/>
          </w:tcPr>
          <w:p w14:paraId="7F978CCE"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7401AE4C"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Наименьшие радиусы выпуклых вертикальных кривых. м</w:t>
            </w:r>
          </w:p>
        </w:tc>
        <w:tc>
          <w:tcPr>
            <w:tcW w:w="1097" w:type="pct"/>
            <w:vAlign w:val="center"/>
          </w:tcPr>
          <w:p w14:paraId="7F88965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500</w:t>
            </w:r>
          </w:p>
        </w:tc>
        <w:tc>
          <w:tcPr>
            <w:tcW w:w="1099" w:type="pct"/>
            <w:vAlign w:val="center"/>
          </w:tcPr>
          <w:p w14:paraId="35FD5842"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650</w:t>
            </w:r>
          </w:p>
        </w:tc>
        <w:tc>
          <w:tcPr>
            <w:tcW w:w="1151" w:type="pct"/>
            <w:vAlign w:val="center"/>
          </w:tcPr>
          <w:p w14:paraId="532FBA2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650</w:t>
            </w:r>
          </w:p>
        </w:tc>
      </w:tr>
      <w:tr w:rsidR="00AB3287" w:rsidRPr="006036BC" w14:paraId="4902C42A" w14:textId="77777777" w:rsidTr="00AB3287">
        <w:tc>
          <w:tcPr>
            <w:tcW w:w="205" w:type="pct"/>
            <w:vAlign w:val="center"/>
          </w:tcPr>
          <w:p w14:paraId="176898A2"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22B43C72"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Наименьшие радиусы вогнутых вертикальных кривых. м</w:t>
            </w:r>
          </w:p>
        </w:tc>
        <w:tc>
          <w:tcPr>
            <w:tcW w:w="1097" w:type="pct"/>
            <w:vAlign w:val="center"/>
          </w:tcPr>
          <w:p w14:paraId="777FA0BA"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500</w:t>
            </w:r>
          </w:p>
        </w:tc>
        <w:tc>
          <w:tcPr>
            <w:tcW w:w="1099" w:type="pct"/>
            <w:vAlign w:val="center"/>
          </w:tcPr>
          <w:p w14:paraId="7645EC1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800</w:t>
            </w:r>
          </w:p>
        </w:tc>
        <w:tc>
          <w:tcPr>
            <w:tcW w:w="1151" w:type="pct"/>
            <w:vAlign w:val="center"/>
          </w:tcPr>
          <w:p w14:paraId="737E229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800</w:t>
            </w:r>
          </w:p>
        </w:tc>
      </w:tr>
      <w:tr w:rsidR="00AB3287" w:rsidRPr="006036BC" w14:paraId="01C09E2F" w14:textId="77777777" w:rsidTr="00AB3287">
        <w:tc>
          <w:tcPr>
            <w:tcW w:w="205" w:type="pct"/>
            <w:vAlign w:val="center"/>
          </w:tcPr>
          <w:p w14:paraId="0A2C6517"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642ED10F" w14:textId="77777777" w:rsidR="00AB3287" w:rsidRPr="006036BC" w:rsidRDefault="00AB3287" w:rsidP="00AB3287">
            <w:pPr>
              <w:pBdr>
                <w:top w:val="nil"/>
                <w:left w:val="nil"/>
                <w:bottom w:val="nil"/>
                <w:right w:val="nil"/>
                <w:between w:val="nil"/>
              </w:pBdr>
              <w:spacing w:after="0" w:line="240" w:lineRule="auto"/>
              <w:ind w:right="-102"/>
              <w:rPr>
                <w:rFonts w:ascii="Times New Roman" w:eastAsia="Arial" w:hAnsi="Times New Roman" w:cs="Times New Roman"/>
                <w:sz w:val="24"/>
                <w:szCs w:val="24"/>
              </w:rPr>
            </w:pPr>
            <w:r w:rsidRPr="006036BC">
              <w:rPr>
                <w:rFonts w:ascii="Times New Roman" w:eastAsia="Arial" w:hAnsi="Times New Roman" w:cs="Times New Roman"/>
                <w:sz w:val="24"/>
                <w:szCs w:val="24"/>
              </w:rPr>
              <w:t>Коэффициент требуемого уплотнения рабочего слоя земляного полотна</w:t>
            </w:r>
          </w:p>
        </w:tc>
        <w:tc>
          <w:tcPr>
            <w:tcW w:w="1097" w:type="pct"/>
            <w:vAlign w:val="center"/>
          </w:tcPr>
          <w:p w14:paraId="73172502"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0,94</w:t>
            </w:r>
          </w:p>
        </w:tc>
        <w:tc>
          <w:tcPr>
            <w:tcW w:w="1099" w:type="pct"/>
            <w:vAlign w:val="center"/>
          </w:tcPr>
          <w:p w14:paraId="59F3A188"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0,95</w:t>
            </w:r>
          </w:p>
        </w:tc>
        <w:tc>
          <w:tcPr>
            <w:tcW w:w="1151" w:type="pct"/>
            <w:vAlign w:val="center"/>
          </w:tcPr>
          <w:p w14:paraId="7288B62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0,95</w:t>
            </w:r>
          </w:p>
        </w:tc>
      </w:tr>
      <w:tr w:rsidR="00AB3287" w:rsidRPr="006036BC" w14:paraId="761C85C9" w14:textId="77777777" w:rsidTr="00AB3287">
        <w:tc>
          <w:tcPr>
            <w:tcW w:w="205" w:type="pct"/>
            <w:vAlign w:val="center"/>
          </w:tcPr>
          <w:p w14:paraId="5581248D"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566406E5"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Тип дорожной одежды</w:t>
            </w:r>
          </w:p>
        </w:tc>
        <w:tc>
          <w:tcPr>
            <w:tcW w:w="1097" w:type="pct"/>
            <w:vAlign w:val="center"/>
          </w:tcPr>
          <w:p w14:paraId="56696F9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покрытие толщиной 20 см из щебня на глинистой связке или горного грунта</w:t>
            </w:r>
          </w:p>
        </w:tc>
        <w:tc>
          <w:tcPr>
            <w:tcW w:w="1099" w:type="pct"/>
            <w:vAlign w:val="center"/>
          </w:tcPr>
          <w:p w14:paraId="25EA92A7"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низший</w:t>
            </w:r>
          </w:p>
        </w:tc>
        <w:tc>
          <w:tcPr>
            <w:tcW w:w="1151" w:type="pct"/>
            <w:vAlign w:val="center"/>
          </w:tcPr>
          <w:p w14:paraId="3308DD3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низший</w:t>
            </w:r>
          </w:p>
        </w:tc>
      </w:tr>
      <w:tr w:rsidR="00AB3287" w:rsidRPr="006036BC" w14:paraId="797B196D" w14:textId="77777777" w:rsidTr="00AB3287">
        <w:tc>
          <w:tcPr>
            <w:tcW w:w="205" w:type="pct"/>
            <w:vAlign w:val="center"/>
          </w:tcPr>
          <w:p w14:paraId="3F45704C"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65F1EC3F"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Радиус поворота на пересечениях и примыканиях, м</w:t>
            </w:r>
          </w:p>
        </w:tc>
        <w:tc>
          <w:tcPr>
            <w:tcW w:w="1097" w:type="pct"/>
            <w:vAlign w:val="center"/>
          </w:tcPr>
          <w:p w14:paraId="0D01288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60,00</w:t>
            </w:r>
          </w:p>
        </w:tc>
        <w:tc>
          <w:tcPr>
            <w:tcW w:w="1099" w:type="pct"/>
            <w:vAlign w:val="center"/>
          </w:tcPr>
          <w:p w14:paraId="007C44EC"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15,00</w:t>
            </w:r>
          </w:p>
        </w:tc>
        <w:tc>
          <w:tcPr>
            <w:tcW w:w="1151" w:type="pct"/>
            <w:vAlign w:val="center"/>
          </w:tcPr>
          <w:p w14:paraId="3A6CB39A"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60,00 (по направлению движения доставки лопастей);</w:t>
            </w:r>
          </w:p>
          <w:p w14:paraId="7732F8AE" w14:textId="77777777" w:rsidR="00AB3287" w:rsidRPr="006036BC" w:rsidRDefault="00AB3287" w:rsidP="00AB3287">
            <w:pPr>
              <w:pBdr>
                <w:top w:val="nil"/>
                <w:left w:val="nil"/>
                <w:bottom w:val="nil"/>
                <w:right w:val="nil"/>
                <w:between w:val="nil"/>
              </w:pBdr>
              <w:spacing w:after="0" w:line="240" w:lineRule="auto"/>
              <w:ind w:left="-35" w:right="-112"/>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br/>
              <w:t>15,00 (по технологич. направлениям)</w:t>
            </w:r>
          </w:p>
        </w:tc>
      </w:tr>
      <w:tr w:rsidR="00AB3287" w:rsidRPr="006036BC" w14:paraId="4C36573C" w14:textId="77777777" w:rsidTr="00AB3287">
        <w:tc>
          <w:tcPr>
            <w:tcW w:w="205" w:type="pct"/>
            <w:vAlign w:val="center"/>
          </w:tcPr>
          <w:p w14:paraId="028B724C"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3AAC7F4A"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Рекомендуемая высота насыпи, м</w:t>
            </w:r>
          </w:p>
        </w:tc>
        <w:tc>
          <w:tcPr>
            <w:tcW w:w="1097" w:type="pct"/>
            <w:vAlign w:val="center"/>
          </w:tcPr>
          <w:p w14:paraId="069BFDC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w:t>
            </w:r>
          </w:p>
        </w:tc>
        <w:tc>
          <w:tcPr>
            <w:tcW w:w="1099" w:type="pct"/>
            <w:vAlign w:val="center"/>
          </w:tcPr>
          <w:p w14:paraId="29634EC7"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0,6</w:t>
            </w:r>
          </w:p>
        </w:tc>
        <w:tc>
          <w:tcPr>
            <w:tcW w:w="1151" w:type="pct"/>
            <w:vAlign w:val="center"/>
          </w:tcPr>
          <w:p w14:paraId="61D1E47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0,6</w:t>
            </w:r>
          </w:p>
        </w:tc>
      </w:tr>
    </w:tbl>
    <w:p w14:paraId="5BBD86DD" w14:textId="77777777" w:rsidR="00AB3287" w:rsidRPr="006036BC" w:rsidRDefault="00AB3287" w:rsidP="00AB3287">
      <w:pPr>
        <w:spacing w:after="0" w:line="240" w:lineRule="auto"/>
        <w:ind w:firstLine="709"/>
        <w:jc w:val="both"/>
        <w:rPr>
          <w:rFonts w:ascii="Times New Roman" w:hAnsi="Times New Roman" w:cs="Times New Roman"/>
          <w:sz w:val="24"/>
          <w:szCs w:val="24"/>
          <w:highlight w:val="yellow"/>
        </w:rPr>
      </w:pPr>
    </w:p>
    <w:p w14:paraId="10EBC5F9" w14:textId="77777777" w:rsidR="00AB3287" w:rsidRPr="006036BC" w:rsidRDefault="00AB3287" w:rsidP="00AB3287">
      <w:pPr>
        <w:spacing w:after="0" w:line="240" w:lineRule="auto"/>
        <w:ind w:firstLine="709"/>
        <w:jc w:val="both"/>
        <w:rPr>
          <w:rFonts w:ascii="Times New Roman" w:hAnsi="Times New Roman" w:cs="Times New Roman"/>
          <w:i/>
          <w:sz w:val="24"/>
          <w:szCs w:val="24"/>
          <w:u w:val="single"/>
        </w:rPr>
      </w:pPr>
      <w:r w:rsidRPr="006036BC">
        <w:rPr>
          <w:rFonts w:ascii="Times New Roman" w:hAnsi="Times New Roman" w:cs="Times New Roman"/>
          <w:i/>
          <w:sz w:val="24"/>
          <w:szCs w:val="24"/>
          <w:u w:val="single"/>
        </w:rPr>
        <w:t>Внутриплощадочные КЛ-35 кВ</w:t>
      </w:r>
    </w:p>
    <w:p w14:paraId="40169455"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lastRenderedPageBreak/>
        <w:t xml:space="preserve">Для сбора мощности в секторе P2 от ВЭУ на ПС, в соответствии с однолинейной схемой 35 кВ в проекте предусматривается 13 коллекторных кабельных цепей. Каждая цепь содержит три последовательно подключенных ВЭУ (за исключением одной, которая содержит две ВЭУ). </w:t>
      </w:r>
    </w:p>
    <w:p w14:paraId="3D456788"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Коллекторные цепи должны быть разделены на участки (подцепи), каждый из которых соединяет одну ВЭУ с другой или с подстанцией. Таким образом, 13 основных цепей образуют 39 кабельных линий 35 кВ.</w:t>
      </w:r>
    </w:p>
    <w:p w14:paraId="2AA1A067"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Протяженность внутриплощадочных кабельных линии 35 кВ составляет 134,8 км, длина кабелей 404,4 км.</w:t>
      </w:r>
    </w:p>
    <w:p w14:paraId="15935AA6"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Протяженность траншей составляет 76,4 км.</w:t>
      </w:r>
    </w:p>
    <w:p w14:paraId="510953DE" w14:textId="77777777" w:rsidR="00AB3287" w:rsidRPr="006036BC" w:rsidRDefault="00AB3287" w:rsidP="00AB3287">
      <w:pPr>
        <w:spacing w:after="0" w:line="240" w:lineRule="auto"/>
        <w:ind w:firstLine="709"/>
        <w:jc w:val="both"/>
        <w:rPr>
          <w:rFonts w:ascii="Times New Roman" w:hAnsi="Times New Roman" w:cs="Times New Roman"/>
          <w:sz w:val="24"/>
          <w:szCs w:val="24"/>
          <w:highlight w:val="yellow"/>
        </w:rPr>
      </w:pPr>
    </w:p>
    <w:p w14:paraId="4A7FA794" w14:textId="77777777" w:rsidR="00D5480B" w:rsidRPr="00D5480B" w:rsidRDefault="00D5480B" w:rsidP="00D5480B">
      <w:pPr>
        <w:spacing w:after="0" w:line="240" w:lineRule="auto"/>
        <w:ind w:firstLine="709"/>
        <w:jc w:val="both"/>
        <w:rPr>
          <w:rFonts w:ascii="Times New Roman" w:hAnsi="Times New Roman" w:cs="Times New Roman"/>
          <w:i/>
          <w:sz w:val="24"/>
          <w:szCs w:val="24"/>
          <w:u w:val="single"/>
        </w:rPr>
      </w:pPr>
      <w:r w:rsidRPr="00D5480B">
        <w:rPr>
          <w:rFonts w:ascii="Times New Roman" w:hAnsi="Times New Roman" w:cs="Times New Roman"/>
          <w:i/>
          <w:sz w:val="24"/>
          <w:szCs w:val="24"/>
          <w:u w:val="single"/>
        </w:rPr>
        <w:t>Внутриплощадочные КЛ-35 кВ</w:t>
      </w:r>
    </w:p>
    <w:p w14:paraId="7634B1DE" w14:textId="4AF29714" w:rsidR="007760C8" w:rsidRPr="007760C8" w:rsidRDefault="00D5480B"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Для сбора мощности в секторе P3 от ВЭУ на ПС, в соответствии с однолинейной схемой 35 кВ в проекте предусматривается 13 коллекторных</w:t>
      </w:r>
      <w:r w:rsidR="007760C8" w:rsidRPr="007760C8">
        <w:rPr>
          <w:rFonts w:ascii="Times New Roman" w:hAnsi="Times New Roman" w:cs="Times New Roman"/>
          <w:iCs/>
          <w:sz w:val="24"/>
          <w:szCs w:val="24"/>
        </w:rPr>
        <w:t xml:space="preserve"> </w:t>
      </w:r>
      <w:r w:rsidR="007760C8" w:rsidRPr="007760C8">
        <w:rPr>
          <w:rFonts w:ascii="Times New Roman" w:hAnsi="Times New Roman" w:cs="Times New Roman"/>
          <w:iCs/>
          <w:sz w:val="24"/>
          <w:szCs w:val="24"/>
        </w:rPr>
        <w:t>кабельных цепей. Каждая цепь содержит три последовательно подключенных ВЭУ (за исключением одной, которая содержит две ВЭУ).</w:t>
      </w:r>
    </w:p>
    <w:p w14:paraId="5E988869" w14:textId="77777777" w:rsidR="007760C8"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Коллекторные цепи должны быть разделены на участки (подцепи), каждый из которых соединяет одну ВЭУ с другой или с подстанцией. Таким образом, 13 основных цепей образуют 47 кабельных линий 35 кВ.</w:t>
      </w:r>
    </w:p>
    <w:p w14:paraId="1CB5FA3D" w14:textId="77777777" w:rsidR="007760C8"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Протяженность внутриплощадочных кабельных линии 35 кВ составляет 174,6 км, длина кабелей 477,4 км.</w:t>
      </w:r>
    </w:p>
    <w:p w14:paraId="0C4DC4B0" w14:textId="77777777" w:rsidR="007760C8"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Протяженность траншей составляет 75,4 км.</w:t>
      </w:r>
    </w:p>
    <w:p w14:paraId="1E7F5534" w14:textId="77777777" w:rsidR="007760C8"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Внутриплощадочные ВОЛС</w:t>
      </w:r>
    </w:p>
    <w:p w14:paraId="15F46763" w14:textId="77777777" w:rsidR="007760C8"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ВЭС обвязывается волоконно-оптическим кабелем по топологии «оптическое кольцо». В проекте используется бронированный диэлектрический волоконно-оптический кабель одномодовый с 48 оптическими волокнами типа TD 25-031 - 48SM.</w:t>
      </w:r>
    </w:p>
    <w:p w14:paraId="5C2EFCFB" w14:textId="77777777" w:rsidR="007760C8"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Для подключения кабеля ВОЛС используются оптические кроссы на 48 ОВ, установленная в ВЭУ, а также на ПС 500/35 кВ «Мирный».</w:t>
      </w:r>
    </w:p>
    <w:p w14:paraId="11AC15FC" w14:textId="77777777" w:rsidR="007760C8"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Оптические кабели прокладываются совместно с силовыми кабелями КЛ 35 кВ в одной траншее, на расстоянии не менее 0,5 м от силовых кабелей.</w:t>
      </w:r>
    </w:p>
    <w:p w14:paraId="11D40E23" w14:textId="77777777" w:rsidR="007760C8"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Кабель ВОЛС предполагается укладывать одновременно с прокладкой КЛ 35 кВ.</w:t>
      </w:r>
    </w:p>
    <w:p w14:paraId="0F2F00ED" w14:textId="77777777" w:rsidR="007760C8"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С целью обеспечения сбора данных с существующих метеостанций, расположенных на территории площадки ВЭУ проектом предусмотрена отдельная прокладка кабеля ВОЛС в траншее.</w:t>
      </w:r>
    </w:p>
    <w:p w14:paraId="78C424B7" w14:textId="19433E05" w:rsidR="00D5480B" w:rsidRPr="007760C8" w:rsidRDefault="007760C8"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По территории ПС 500/35 кВ «Мирный Южная», кабель ВОЛС прокладывается в кабельных траншеях до кабельных бетонных лотков, далее кабель ВОЛС прокладывается до вспомогательного помещения панелей SCADA ВЭС расположенного на территории ОРУ. Внутри вспомогательного помещения кабель ВОЛС прокладывается в кабельных каналах до шкафа оптических кроссов, где он и расшивается согласно схемам.</w:t>
      </w:r>
    </w:p>
    <w:p w14:paraId="0149EDBC" w14:textId="77777777" w:rsidR="00B0046A" w:rsidRPr="006036BC" w:rsidRDefault="00B0046A" w:rsidP="007760C8">
      <w:pPr>
        <w:spacing w:after="0" w:line="240" w:lineRule="auto"/>
        <w:jc w:val="both"/>
        <w:rPr>
          <w:rFonts w:ascii="Times New Roman" w:hAnsi="Times New Roman" w:cs="Times New Roman"/>
          <w:sz w:val="24"/>
          <w:szCs w:val="24"/>
        </w:rPr>
      </w:pPr>
    </w:p>
    <w:p w14:paraId="25906402" w14:textId="1140BB82" w:rsidR="00B0046A" w:rsidRPr="006036BC" w:rsidRDefault="00B0046A" w:rsidP="00B0046A">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Согласно заключению по результатам оценки воздействия на окружающую среду №KZ41VVX00423453 от 19.11.2025 года (представлено в приложении Ж, РООС) </w:t>
      </w:r>
      <w:r w:rsidRPr="006036BC">
        <w:rPr>
          <w:rFonts w:ascii="Times New Roman" w:hAnsi="Times New Roman" w:cs="Times New Roman"/>
          <w:b/>
          <w:sz w:val="24"/>
          <w:szCs w:val="24"/>
        </w:rPr>
        <w:t xml:space="preserve">- </w:t>
      </w:r>
      <w:r w:rsidRPr="006036BC">
        <w:rPr>
          <w:rFonts w:ascii="Times New Roman" w:hAnsi="Times New Roman" w:cs="Times New Roman"/>
          <w:b/>
          <w:sz w:val="24"/>
          <w:szCs w:val="24"/>
          <w:u w:val="single"/>
        </w:rPr>
        <w:t>на период строительства намечаемая деятельность была отнесена к II категории воздействия,</w:t>
      </w:r>
      <w:r w:rsidRPr="006036BC">
        <w:rPr>
          <w:rFonts w:ascii="Times New Roman" w:hAnsi="Times New Roman" w:cs="Times New Roman"/>
          <w:sz w:val="24"/>
          <w:szCs w:val="24"/>
        </w:rPr>
        <w:t xml:space="preserve"> на период эксплуатации намечаемая деятельность была отнесена к III категория воздействия. </w:t>
      </w:r>
    </w:p>
    <w:p w14:paraId="2F597386" w14:textId="21D1AD91" w:rsidR="00B0046A" w:rsidRPr="006036BC" w:rsidRDefault="00B0046A" w:rsidP="00B0046A">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Ближайшая жилая зона расположена на расстоянии </w:t>
      </w:r>
      <w:r w:rsidR="00AC70DE">
        <w:rPr>
          <w:rFonts w:ascii="Times New Roman" w:hAnsi="Times New Roman" w:cs="Times New Roman"/>
          <w:sz w:val="24"/>
          <w:szCs w:val="24"/>
        </w:rPr>
        <w:t>24</w:t>
      </w:r>
      <w:r w:rsidRPr="006036BC">
        <w:rPr>
          <w:rFonts w:ascii="Times New Roman" w:hAnsi="Times New Roman" w:cs="Times New Roman"/>
          <w:sz w:val="24"/>
          <w:szCs w:val="24"/>
        </w:rPr>
        <w:t xml:space="preserve"> км от участка проведения работ в северо-восточном направлении с преобладаем восточного. </w:t>
      </w:r>
    </w:p>
    <w:p w14:paraId="15B1AA82" w14:textId="2C1DAE23" w:rsidR="00B0046A" w:rsidRPr="006036BC" w:rsidRDefault="00B0046A" w:rsidP="00B0046A">
      <w:pPr>
        <w:spacing w:after="0" w:line="240" w:lineRule="auto"/>
        <w:ind w:firstLine="709"/>
        <w:jc w:val="both"/>
        <w:rPr>
          <w:rFonts w:ascii="Times New Roman" w:hAnsi="Times New Roman" w:cs="Times New Roman"/>
          <w:b/>
          <w:sz w:val="24"/>
          <w:szCs w:val="24"/>
          <w:u w:val="single"/>
        </w:rPr>
      </w:pPr>
      <w:r w:rsidRPr="006036BC">
        <w:rPr>
          <w:rFonts w:ascii="Times New Roman" w:hAnsi="Times New Roman" w:cs="Times New Roman"/>
          <w:sz w:val="24"/>
          <w:szCs w:val="24"/>
        </w:rPr>
        <w:t xml:space="preserve">Согласно информации РГУ «Шу-Таласская бассейновая инспекция по регулированию, охране и использованию водных ресурсов» (письмо №ЗТ-2024-06343564 от 20.12.2024 года представлено в приложении З, РООС), </w:t>
      </w:r>
      <w:r w:rsidRPr="006036BC">
        <w:rPr>
          <w:rFonts w:ascii="Times New Roman" w:hAnsi="Times New Roman" w:cs="Times New Roman"/>
          <w:b/>
          <w:sz w:val="24"/>
          <w:szCs w:val="24"/>
          <w:u w:val="single"/>
        </w:rPr>
        <w:t>на территории проведения работ, а также в радиусе 1000 метров водные объекты отсутствуют.</w:t>
      </w:r>
    </w:p>
    <w:p w14:paraId="0C31EAB1" w14:textId="77ACBFE2" w:rsidR="00B0046A" w:rsidRPr="006036BC" w:rsidRDefault="00B0046A" w:rsidP="00B0046A">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lastRenderedPageBreak/>
        <w:t xml:space="preserve">Согласно информации КГУ «Управление ветеринарии акимата Жамбылской области» (письмо №ЗТ-2024-06343583 от 25.12.2024 года представлено в приложении И, РООС), </w:t>
      </w:r>
      <w:r w:rsidRPr="006036BC">
        <w:rPr>
          <w:rFonts w:ascii="Times New Roman" w:hAnsi="Times New Roman" w:cs="Times New Roman"/>
          <w:b/>
          <w:sz w:val="24"/>
          <w:szCs w:val="24"/>
          <w:u w:val="single"/>
        </w:rPr>
        <w:t>на участке проектирования скотомогильники, сибиреязвенные захоронения отсутствуют.</w:t>
      </w:r>
    </w:p>
    <w:p w14:paraId="23EC5427" w14:textId="77777777" w:rsidR="0056349D" w:rsidRPr="006036BC" w:rsidRDefault="0056349D" w:rsidP="0056349D">
      <w:pPr>
        <w:tabs>
          <w:tab w:val="left" w:pos="709"/>
        </w:tabs>
        <w:spacing w:after="0" w:line="240" w:lineRule="auto"/>
        <w:ind w:firstLine="709"/>
        <w:jc w:val="both"/>
        <w:rPr>
          <w:rFonts w:ascii="Times New Roman" w:hAnsi="Times New Roman" w:cs="Times New Roman"/>
          <w:sz w:val="24"/>
          <w:szCs w:val="24"/>
        </w:rPr>
      </w:pPr>
    </w:p>
    <w:p w14:paraId="1A62B506" w14:textId="78BA7135" w:rsidR="007660DC" w:rsidRPr="006036BC" w:rsidRDefault="007660DC" w:rsidP="007660DC">
      <w:pPr>
        <w:tabs>
          <w:tab w:val="left" w:pos="709"/>
        </w:tabs>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r w:rsidRPr="006036BC">
        <w:rPr>
          <w:rFonts w:ascii="Times New Roman" w:eastAsia="Times New Roman" w:hAnsi="Times New Roman" w:cs="Times New Roman"/>
          <w:b/>
          <w:color w:val="000000" w:themeColor="text1"/>
          <w:sz w:val="24"/>
          <w:szCs w:val="24"/>
          <w:u w:val="single"/>
          <w:lang w:eastAsia="ru-RU"/>
        </w:rPr>
        <w:t>Воздействия на воздушную среду, эмиссии в атмосферный воздух</w:t>
      </w:r>
    </w:p>
    <w:p w14:paraId="2D99F3A3" w14:textId="77777777" w:rsidR="007D4EF3" w:rsidRDefault="007D4EF3" w:rsidP="00B0046A">
      <w:pPr>
        <w:pStyle w:val="PlainText"/>
        <w:ind w:firstLine="720"/>
        <w:jc w:val="both"/>
        <w:rPr>
          <w:rFonts w:ascii="Times New Roman" w:hAnsi="Times New Roman"/>
          <w:sz w:val="24"/>
          <w:szCs w:val="24"/>
        </w:rPr>
      </w:pPr>
    </w:p>
    <w:p w14:paraId="17C0E2F1" w14:textId="77777777" w:rsidR="007D4EF3" w:rsidRPr="007D4EF3" w:rsidRDefault="007D4EF3" w:rsidP="007D4EF3">
      <w:pPr>
        <w:pStyle w:val="PlainText"/>
        <w:ind w:firstLine="720"/>
        <w:jc w:val="both"/>
        <w:rPr>
          <w:rFonts w:ascii="Times New Roman" w:hAnsi="Times New Roman"/>
          <w:sz w:val="24"/>
          <w:szCs w:val="24"/>
        </w:rPr>
      </w:pPr>
      <w:r w:rsidRPr="007D4EF3">
        <w:rPr>
          <w:rFonts w:ascii="Times New Roman" w:hAnsi="Times New Roman"/>
          <w:sz w:val="24"/>
          <w:szCs w:val="24"/>
        </w:rPr>
        <w:t>В период строительства основными источниками выделения загрязняющих веществ будут являться: компрессоры, земляные работы, электросварочные работы, малярные работы, паяльные работы, битумные работы, инертные материалы, механическая обработка материалов, сухие строительные смеси, буровые работы, сварка полиэтиленовых труб, газорезательные работы, взрывные работы, транспортные работы, топливозаправщик, автотранспортная техника.</w:t>
      </w:r>
    </w:p>
    <w:p w14:paraId="5DCEE5C8" w14:textId="77777777" w:rsidR="007D4EF3" w:rsidRPr="007D4EF3" w:rsidRDefault="007D4EF3" w:rsidP="007D4EF3">
      <w:pPr>
        <w:pStyle w:val="PlainText"/>
        <w:ind w:firstLine="720"/>
        <w:jc w:val="both"/>
        <w:rPr>
          <w:rFonts w:ascii="Times New Roman" w:hAnsi="Times New Roman"/>
          <w:sz w:val="24"/>
          <w:szCs w:val="24"/>
        </w:rPr>
      </w:pPr>
      <w:r w:rsidRPr="007D4EF3">
        <w:rPr>
          <w:rFonts w:ascii="Times New Roman" w:hAnsi="Times New Roman"/>
          <w:sz w:val="24"/>
          <w:szCs w:val="24"/>
        </w:rPr>
        <w:t>На рассматриваемом объекте на период строительства предусматривается 19 источников выбросов, из них три организованных и 16 неорганизованных источников выбросов, выбрасывающих в общей сложности 28 наименований загрязняющих веществ.</w:t>
      </w:r>
    </w:p>
    <w:p w14:paraId="65520644" w14:textId="77777777" w:rsidR="007D4EF3" w:rsidRPr="007D4EF3" w:rsidRDefault="007D4EF3" w:rsidP="007D4EF3">
      <w:pPr>
        <w:pStyle w:val="PlainText"/>
        <w:ind w:firstLine="720"/>
        <w:jc w:val="both"/>
        <w:rPr>
          <w:rFonts w:ascii="Times New Roman" w:hAnsi="Times New Roman"/>
          <w:sz w:val="24"/>
          <w:szCs w:val="24"/>
        </w:rPr>
      </w:pPr>
      <w:r w:rsidRPr="007D4EF3">
        <w:rPr>
          <w:rFonts w:ascii="Times New Roman" w:hAnsi="Times New Roman"/>
          <w:sz w:val="24"/>
          <w:szCs w:val="24"/>
        </w:rPr>
        <w:t>Суммарный выброс загрязняющих веществ в атмосферу от рассматриваемого объекта на период его строительства ожидается: 253.726446737 т/год, в том числе твердые – 208.667887837т/год, жидкие и газообразные – 45.0585589 т/год.</w:t>
      </w:r>
    </w:p>
    <w:p w14:paraId="16C74C07" w14:textId="77777777" w:rsidR="007D4EF3" w:rsidRPr="007D4EF3" w:rsidRDefault="007D4EF3" w:rsidP="007D4EF3">
      <w:pPr>
        <w:pStyle w:val="PlainText"/>
        <w:ind w:firstLine="720"/>
        <w:jc w:val="both"/>
        <w:rPr>
          <w:rFonts w:ascii="Times New Roman" w:hAnsi="Times New Roman"/>
          <w:sz w:val="24"/>
          <w:szCs w:val="24"/>
        </w:rPr>
      </w:pPr>
      <w:r w:rsidRPr="007D4EF3">
        <w:rPr>
          <w:rFonts w:ascii="Times New Roman" w:hAnsi="Times New Roman"/>
          <w:sz w:val="24"/>
          <w:szCs w:val="24"/>
        </w:rPr>
        <w:t>Нормируемые выбросы (от стационарных источников) составят: 246.955026737 т/год, в том числе твердые – 208.404447837 т/год, жидкие и газообразные – 38.5505789 т/год.</w:t>
      </w:r>
    </w:p>
    <w:p w14:paraId="336E4702" w14:textId="1D40843E" w:rsidR="00B0046A" w:rsidRPr="006036BC" w:rsidRDefault="007D4EF3" w:rsidP="0059185C">
      <w:pPr>
        <w:pStyle w:val="PlainText"/>
        <w:ind w:firstLine="720"/>
        <w:jc w:val="both"/>
        <w:rPr>
          <w:rFonts w:ascii="Times New Roman" w:hAnsi="Times New Roman"/>
          <w:sz w:val="24"/>
          <w:szCs w:val="24"/>
        </w:rPr>
      </w:pPr>
      <w:r w:rsidRPr="007D4EF3">
        <w:rPr>
          <w:rFonts w:ascii="Times New Roman" w:hAnsi="Times New Roman"/>
          <w:sz w:val="24"/>
          <w:szCs w:val="24"/>
        </w:rPr>
        <w:t>Выбросы от передвижных источников (ненормируемые) составят: 6.77142 т/год, в том числе твердые – 0.26344 т/год, жидкие и газообразные – 6.50798 т/год. Согласно п.6 Методики определения нормативов /10/, выбросы от передвижных источников не подлежат нормированию.</w:t>
      </w:r>
    </w:p>
    <w:p w14:paraId="4C6CEACF" w14:textId="28A6F65D" w:rsidR="00D52947" w:rsidRPr="006036BC" w:rsidRDefault="00D52947" w:rsidP="0056349D">
      <w:pPr>
        <w:spacing w:after="0" w:line="240" w:lineRule="auto"/>
        <w:ind w:firstLine="709"/>
        <w:jc w:val="both"/>
        <w:rPr>
          <w:rFonts w:ascii="Times New Roman" w:eastAsia="Calibri" w:hAnsi="Times New Roman" w:cs="Times New Roman"/>
          <w:color w:val="000000" w:themeColor="text1"/>
          <w:sz w:val="24"/>
          <w:szCs w:val="24"/>
          <w:lang w:val="kk-KZ" w:eastAsia="ru-RU"/>
        </w:rPr>
      </w:pPr>
      <w:r w:rsidRPr="006036BC">
        <w:rPr>
          <w:rFonts w:ascii="Times New Roman" w:hAnsi="Times New Roman" w:cs="Times New Roman"/>
          <w:color w:val="000000" w:themeColor="text1"/>
          <w:sz w:val="24"/>
          <w:szCs w:val="24"/>
        </w:rPr>
        <w:t xml:space="preserve">На основании проведенного расчета рассеивания загрязняющих веществ установлено, что </w:t>
      </w:r>
      <w:r w:rsidR="00D24D20" w:rsidRPr="006036BC">
        <w:rPr>
          <w:rFonts w:ascii="Times New Roman" w:hAnsi="Times New Roman" w:cs="Times New Roman"/>
          <w:color w:val="000000" w:themeColor="text1"/>
          <w:sz w:val="24"/>
          <w:szCs w:val="24"/>
        </w:rPr>
        <w:t xml:space="preserve">на границе с ближайшей жилой зоной </w:t>
      </w:r>
      <w:r w:rsidRPr="006036BC">
        <w:rPr>
          <w:rFonts w:ascii="Times New Roman" w:hAnsi="Times New Roman" w:cs="Times New Roman"/>
          <w:color w:val="000000" w:themeColor="text1"/>
          <w:sz w:val="24"/>
          <w:szCs w:val="24"/>
        </w:rPr>
        <w:t>превышения ПДК загрязняющих веществ отсутствуют.</w:t>
      </w:r>
      <w:r w:rsidRPr="006036BC">
        <w:rPr>
          <w:rFonts w:ascii="Times New Roman" w:eastAsia="Calibri" w:hAnsi="Times New Roman" w:cs="Times New Roman"/>
          <w:color w:val="000000" w:themeColor="text1"/>
          <w:sz w:val="24"/>
          <w:szCs w:val="24"/>
          <w:lang w:eastAsia="ru-RU"/>
        </w:rPr>
        <w:t xml:space="preserve"> </w:t>
      </w:r>
    </w:p>
    <w:p w14:paraId="217428BC" w14:textId="3B0E4310" w:rsidR="00427CA3" w:rsidRPr="006036BC" w:rsidRDefault="00427CA3" w:rsidP="00D47343">
      <w:pPr>
        <w:spacing w:after="0" w:line="240" w:lineRule="auto"/>
        <w:ind w:firstLine="709"/>
        <w:jc w:val="both"/>
        <w:rPr>
          <w:rFonts w:ascii="Times New Roman" w:eastAsia="Calibri" w:hAnsi="Times New Roman" w:cs="Times New Roman"/>
          <w:color w:val="000000" w:themeColor="text1"/>
          <w:sz w:val="24"/>
          <w:szCs w:val="24"/>
          <w:lang w:eastAsia="ru-RU"/>
        </w:rPr>
      </w:pPr>
      <w:r w:rsidRPr="006036BC">
        <w:rPr>
          <w:rFonts w:ascii="Times New Roman" w:eastAsia="Calibri" w:hAnsi="Times New Roman" w:cs="Times New Roman"/>
          <w:color w:val="000000" w:themeColor="text1"/>
          <w:sz w:val="24"/>
          <w:szCs w:val="24"/>
          <w:lang w:eastAsia="ru-RU"/>
        </w:rPr>
        <w:t>Оценка воздействия рассматриваемого объекта на атмосферный воздух характеризуется как допустимая.</w:t>
      </w:r>
    </w:p>
    <w:p w14:paraId="28B1E949" w14:textId="5106240F" w:rsidR="00B0046A" w:rsidRPr="006036BC" w:rsidRDefault="00B0046A" w:rsidP="00B0046A">
      <w:pPr>
        <w:tabs>
          <w:tab w:val="left" w:pos="709"/>
        </w:tabs>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r w:rsidRPr="006036BC">
        <w:rPr>
          <w:rFonts w:ascii="Times New Roman" w:eastAsia="Times New Roman" w:hAnsi="Times New Roman" w:cs="Times New Roman"/>
          <w:b/>
          <w:color w:val="000000" w:themeColor="text1"/>
          <w:sz w:val="24"/>
          <w:szCs w:val="24"/>
          <w:u w:val="single"/>
          <w:lang w:eastAsia="ru-RU"/>
        </w:rPr>
        <w:t>Воздействия на водную среду</w:t>
      </w:r>
    </w:p>
    <w:p w14:paraId="17342C85" w14:textId="77777777" w:rsidR="00B0046A" w:rsidRPr="006036BC" w:rsidRDefault="00B0046A" w:rsidP="00B0046A">
      <w:pPr>
        <w:spacing w:after="0" w:line="240" w:lineRule="auto"/>
        <w:ind w:firstLine="708"/>
        <w:jc w:val="both"/>
        <w:rPr>
          <w:rFonts w:ascii="Times New Roman" w:hAnsi="Times New Roman" w:cs="Times New Roman"/>
          <w:sz w:val="24"/>
          <w:szCs w:val="24"/>
        </w:rPr>
      </w:pPr>
      <w:r w:rsidRPr="006036BC">
        <w:rPr>
          <w:rFonts w:ascii="Times New Roman" w:hAnsi="Times New Roman" w:cs="Times New Roman"/>
          <w:sz w:val="24"/>
          <w:szCs w:val="24"/>
        </w:rPr>
        <w:t>Согласно информации РГУ «Шу-Таласская бассейновая инспекция по регулированию, охране и использованию водных ресурсов» (письмо №ЗТ-2024-06343564 от 20.12.2024 года представлено в приложении З), на территории проведения работ, а также в радиусе 1000 метров водные объекты отсутствуют.</w:t>
      </w:r>
    </w:p>
    <w:p w14:paraId="1812518F" w14:textId="4020313B" w:rsidR="00B0046A" w:rsidRPr="006036BC" w:rsidRDefault="00B0046A" w:rsidP="00207331">
      <w:pPr>
        <w:spacing w:after="0" w:line="240" w:lineRule="auto"/>
        <w:ind w:firstLine="708"/>
        <w:jc w:val="both"/>
        <w:rPr>
          <w:rFonts w:ascii="Times New Roman" w:hAnsi="Times New Roman" w:cs="Times New Roman"/>
          <w:sz w:val="24"/>
          <w:szCs w:val="24"/>
        </w:rPr>
      </w:pPr>
      <w:r w:rsidRPr="006036BC">
        <w:rPr>
          <w:rFonts w:ascii="Times New Roman" w:hAnsi="Times New Roman" w:cs="Times New Roman"/>
          <w:sz w:val="24"/>
          <w:szCs w:val="24"/>
        </w:rPr>
        <w:t>Проведение работ предусматривается вне водоохранных зон и полос водного объекта.</w:t>
      </w:r>
    </w:p>
    <w:p w14:paraId="021D2C9E" w14:textId="33C162CA" w:rsidR="00B0046A" w:rsidRPr="006036BC" w:rsidRDefault="00B0046A" w:rsidP="00B0046A">
      <w:pPr>
        <w:spacing w:after="0" w:line="240" w:lineRule="auto"/>
        <w:ind w:firstLine="709"/>
        <w:jc w:val="both"/>
        <w:rPr>
          <w:rFonts w:ascii="Times New Roman" w:hAnsi="Times New Roman" w:cs="Times New Roman"/>
          <w:iCs/>
          <w:sz w:val="24"/>
          <w:szCs w:val="24"/>
        </w:rPr>
      </w:pPr>
      <w:r w:rsidRPr="006036BC">
        <w:rPr>
          <w:rFonts w:ascii="Times New Roman" w:hAnsi="Times New Roman" w:cs="Times New Roman"/>
          <w:iCs/>
          <w:sz w:val="24"/>
          <w:szCs w:val="24"/>
        </w:rPr>
        <w:t>Водоснабжение на период СМР планируется осуществить за счет привозной воды автоцистернам</w:t>
      </w:r>
      <w:r w:rsidR="00207331">
        <w:rPr>
          <w:rFonts w:ascii="Times New Roman" w:hAnsi="Times New Roman" w:cs="Times New Roman"/>
          <w:iCs/>
          <w:sz w:val="24"/>
          <w:szCs w:val="24"/>
        </w:rPr>
        <w:t>и.</w:t>
      </w:r>
      <w:r w:rsidRPr="006036BC">
        <w:rPr>
          <w:rFonts w:ascii="Times New Roman" w:hAnsi="Times New Roman" w:cs="Times New Roman"/>
          <w:iCs/>
          <w:sz w:val="24"/>
          <w:szCs w:val="24"/>
        </w:rPr>
        <w:t xml:space="preserve"> Водоснабжение будет осуществляться на договорной основе со специализированными организациями.</w:t>
      </w:r>
    </w:p>
    <w:p w14:paraId="34454B31" w14:textId="77777777" w:rsidR="00B0046A" w:rsidRPr="006036BC" w:rsidRDefault="00B0046A" w:rsidP="00B0046A">
      <w:pPr>
        <w:spacing w:after="0" w:line="240" w:lineRule="auto"/>
        <w:ind w:firstLine="709"/>
        <w:jc w:val="both"/>
        <w:rPr>
          <w:rFonts w:ascii="Times New Roman" w:hAnsi="Times New Roman" w:cs="Times New Roman"/>
          <w:iCs/>
          <w:sz w:val="24"/>
          <w:szCs w:val="24"/>
        </w:rPr>
      </w:pPr>
      <w:r w:rsidRPr="006036BC">
        <w:rPr>
          <w:rFonts w:ascii="Times New Roman" w:hAnsi="Times New Roman" w:cs="Times New Roman"/>
          <w:iCs/>
          <w:sz w:val="24"/>
          <w:szCs w:val="24"/>
        </w:rPr>
        <w:t>Водоотведение хозяйственно-бытовых стоков предусматривается в септик. Стоки, по мере накопления, будут передаваться специализированным организациям на договорной основе.</w:t>
      </w:r>
    </w:p>
    <w:p w14:paraId="7B78BE34" w14:textId="0DBF1E6A" w:rsidR="00B0046A" w:rsidRPr="006036BC" w:rsidRDefault="00B0046A" w:rsidP="00B0046A">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Водопотребление:</w:t>
      </w:r>
    </w:p>
    <w:p w14:paraId="1EF6A32A" w14:textId="77777777" w:rsidR="00A308B5" w:rsidRPr="00A308B5" w:rsidRDefault="00B0046A" w:rsidP="00A308B5">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  </w:t>
      </w:r>
      <w:r w:rsidR="00A308B5" w:rsidRPr="00A308B5">
        <w:rPr>
          <w:rFonts w:ascii="Times New Roman" w:hAnsi="Times New Roman" w:cs="Times New Roman"/>
          <w:sz w:val="24"/>
          <w:szCs w:val="24"/>
        </w:rPr>
        <w:t xml:space="preserve">водопотребление: </w:t>
      </w:r>
    </w:p>
    <w:p w14:paraId="76DE4252" w14:textId="77777777" w:rsidR="00A308B5" w:rsidRPr="00A308B5" w:rsidRDefault="00A308B5" w:rsidP="00A308B5">
      <w:pPr>
        <w:spacing w:after="0" w:line="240" w:lineRule="auto"/>
        <w:ind w:firstLine="709"/>
        <w:jc w:val="both"/>
        <w:rPr>
          <w:rFonts w:ascii="Times New Roman" w:hAnsi="Times New Roman" w:cs="Times New Roman"/>
          <w:sz w:val="24"/>
          <w:szCs w:val="24"/>
        </w:rPr>
      </w:pPr>
      <w:r w:rsidRPr="00A308B5">
        <w:rPr>
          <w:rFonts w:ascii="Times New Roman" w:hAnsi="Times New Roman" w:cs="Times New Roman"/>
          <w:sz w:val="24"/>
          <w:szCs w:val="24"/>
        </w:rPr>
        <w:t xml:space="preserve">- на хозяйственно-бытовые нужды (умывание, принятие пищи и душа) составит: 47,88 м3/сут; 12065,76 м3/год; </w:t>
      </w:r>
    </w:p>
    <w:p w14:paraId="47A3293E" w14:textId="77777777" w:rsidR="00A308B5" w:rsidRPr="00A308B5" w:rsidRDefault="00A308B5" w:rsidP="00A308B5">
      <w:pPr>
        <w:spacing w:after="0" w:line="240" w:lineRule="auto"/>
        <w:ind w:firstLine="709"/>
        <w:jc w:val="both"/>
        <w:rPr>
          <w:rFonts w:ascii="Times New Roman" w:hAnsi="Times New Roman" w:cs="Times New Roman"/>
          <w:sz w:val="24"/>
          <w:szCs w:val="24"/>
        </w:rPr>
      </w:pPr>
      <w:r w:rsidRPr="00A308B5">
        <w:rPr>
          <w:rFonts w:ascii="Times New Roman" w:hAnsi="Times New Roman" w:cs="Times New Roman"/>
          <w:sz w:val="24"/>
          <w:szCs w:val="24"/>
        </w:rPr>
        <w:t xml:space="preserve">- на питьевые нужды составит: 1,368 м3/сут; 344,736 м3/год. </w:t>
      </w:r>
    </w:p>
    <w:p w14:paraId="7D5648EF" w14:textId="59720743" w:rsidR="00B0046A" w:rsidRPr="006036BC" w:rsidRDefault="00A308B5" w:rsidP="00A308B5">
      <w:pPr>
        <w:spacing w:after="0" w:line="240" w:lineRule="auto"/>
        <w:ind w:firstLine="709"/>
        <w:jc w:val="both"/>
        <w:rPr>
          <w:rFonts w:ascii="Times New Roman" w:hAnsi="Times New Roman" w:cs="Times New Roman"/>
          <w:sz w:val="24"/>
          <w:szCs w:val="24"/>
        </w:rPr>
      </w:pPr>
      <w:r w:rsidRPr="00A308B5">
        <w:rPr>
          <w:rFonts w:ascii="Times New Roman" w:hAnsi="Times New Roman" w:cs="Times New Roman"/>
          <w:sz w:val="24"/>
          <w:szCs w:val="24"/>
        </w:rPr>
        <w:t xml:space="preserve">Также в период строительства будет применяться техническая вода (привозная из ближайших централизованных сетей по согласованию с эксплуатирующей организацией) в </w:t>
      </w:r>
      <w:r w:rsidRPr="00A308B5">
        <w:rPr>
          <w:rFonts w:ascii="Times New Roman" w:hAnsi="Times New Roman" w:cs="Times New Roman"/>
          <w:sz w:val="24"/>
          <w:szCs w:val="24"/>
        </w:rPr>
        <w:lastRenderedPageBreak/>
        <w:t>количестве 97177,37 м3 на различные технические нужды (пылеподавление, уход за бетоном, и т.д.). Водопотребление безвозвратное.</w:t>
      </w:r>
    </w:p>
    <w:p w14:paraId="520F119F" w14:textId="78BBE737" w:rsidR="006036BC" w:rsidRPr="006036BC" w:rsidRDefault="006036BC" w:rsidP="006036BC">
      <w:pPr>
        <w:spacing w:after="0" w:line="240" w:lineRule="auto"/>
        <w:ind w:firstLine="709"/>
        <w:jc w:val="both"/>
        <w:rPr>
          <w:rFonts w:ascii="Times New Roman" w:eastAsia="Calibri" w:hAnsi="Times New Roman" w:cs="Times New Roman"/>
          <w:color w:val="000000" w:themeColor="text1"/>
          <w:sz w:val="24"/>
          <w:szCs w:val="24"/>
          <w:lang w:eastAsia="ru-RU"/>
        </w:rPr>
      </w:pPr>
      <w:r w:rsidRPr="006036BC">
        <w:rPr>
          <w:rFonts w:ascii="Times New Roman" w:eastAsia="Calibri" w:hAnsi="Times New Roman" w:cs="Times New Roman"/>
          <w:color w:val="000000" w:themeColor="text1"/>
          <w:sz w:val="24"/>
          <w:szCs w:val="24"/>
          <w:lang w:eastAsia="ru-RU"/>
        </w:rPr>
        <w:t>Оценка воздействия рассматриваемого объекта на водную среду характеризуется как допустимая.</w:t>
      </w:r>
    </w:p>
    <w:p w14:paraId="5471B8E9" w14:textId="77777777" w:rsidR="00B0046A" w:rsidRPr="006036BC" w:rsidRDefault="00B0046A" w:rsidP="00021781">
      <w:pPr>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p>
    <w:p w14:paraId="10B0E744" w14:textId="0E6F1C22" w:rsidR="00021781" w:rsidRPr="006036BC" w:rsidRDefault="00ED1ECD" w:rsidP="00021781">
      <w:pPr>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r w:rsidRPr="006036BC">
        <w:rPr>
          <w:rFonts w:ascii="Times New Roman" w:eastAsia="Times New Roman" w:hAnsi="Times New Roman" w:cs="Times New Roman"/>
          <w:b/>
          <w:color w:val="000000" w:themeColor="text1"/>
          <w:sz w:val="24"/>
          <w:szCs w:val="24"/>
          <w:u w:val="single"/>
          <w:lang w:eastAsia="ru-RU"/>
        </w:rPr>
        <w:t xml:space="preserve">Информация о </w:t>
      </w:r>
      <w:r w:rsidR="00B91742" w:rsidRPr="006036BC">
        <w:rPr>
          <w:rFonts w:ascii="Times New Roman" w:eastAsia="Times New Roman" w:hAnsi="Times New Roman" w:cs="Times New Roman"/>
          <w:b/>
          <w:color w:val="000000" w:themeColor="text1"/>
          <w:sz w:val="24"/>
          <w:szCs w:val="24"/>
          <w:u w:val="single"/>
          <w:lang w:eastAsia="ru-RU"/>
        </w:rPr>
        <w:t>видах, характеристиках и количестве отходов</w:t>
      </w:r>
    </w:p>
    <w:p w14:paraId="329681C2"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В процессе строительства объектов намечаемой деятельности будет образовываться 11 видов отходов производства и потребления, из них два опасных и девять неопасных видов, в том числе:</w:t>
      </w:r>
    </w:p>
    <w:p w14:paraId="52FCAD37"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Смешанные коммунальные отходы;</w:t>
      </w:r>
    </w:p>
    <w:p w14:paraId="428E0A98"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Поддающиеся биологическому разложению отходы кухонь и столовых;</w:t>
      </w:r>
    </w:p>
    <w:p w14:paraId="5E394D79"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Отходы сварки;</w:t>
      </w:r>
    </w:p>
    <w:p w14:paraId="575DF625"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Упаковка, содержащая остатки или загрязненная опасными веществами;</w:t>
      </w:r>
    </w:p>
    <w:p w14:paraId="4AB8C574"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p>
    <w:p w14:paraId="2D7BCF14"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Абсорбенты, фильтровальные материалы, ткани для вытирания, защитная одежда, за исключением упомянутых в 15 02 02;</w:t>
      </w:r>
    </w:p>
    <w:p w14:paraId="01C4073D"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Бумажная и картонная упаковка;</w:t>
      </w:r>
    </w:p>
    <w:p w14:paraId="585661E3"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Дерево;</w:t>
      </w:r>
    </w:p>
    <w:p w14:paraId="04F61A30"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Смешанные металлы;</w:t>
      </w:r>
    </w:p>
    <w:p w14:paraId="705749F3"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Смеси бетона, кирпича, черепицы и керамики;</w:t>
      </w:r>
    </w:p>
    <w:p w14:paraId="5FBCD70D" w14:textId="77777777" w:rsidR="004E7AB3" w:rsidRPr="004E7AB3"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 Отходы строительства.</w:t>
      </w:r>
    </w:p>
    <w:p w14:paraId="43F3B530" w14:textId="6A92FD97" w:rsidR="006036BC" w:rsidRPr="006036BC" w:rsidRDefault="004E7AB3" w:rsidP="004E7AB3">
      <w:pPr>
        <w:tabs>
          <w:tab w:val="left" w:pos="2282"/>
        </w:tabs>
        <w:spacing w:after="0" w:line="240" w:lineRule="auto"/>
        <w:ind w:firstLine="709"/>
        <w:jc w:val="both"/>
        <w:rPr>
          <w:rStyle w:val="fontstyle01"/>
          <w:rFonts w:ascii="Times New Roman" w:hAnsi="Times New Roman" w:cs="Times New Roman"/>
          <w:sz w:val="24"/>
          <w:szCs w:val="24"/>
        </w:rPr>
      </w:pPr>
      <w:r w:rsidRPr="004E7AB3">
        <w:rPr>
          <w:rStyle w:val="fontstyle01"/>
          <w:rFonts w:ascii="Times New Roman" w:hAnsi="Times New Roman" w:cs="Times New Roman"/>
          <w:sz w:val="24"/>
          <w:szCs w:val="24"/>
        </w:rPr>
        <w:t>Объем образования отходов в период строительства составит – 1444,468706 т/год, в том числе опасных – 3,56 т/год, неопасных – 1440,908706 т/год.</w:t>
      </w:r>
    </w:p>
    <w:p w14:paraId="5BA20F55" w14:textId="77777777" w:rsidR="006036BC" w:rsidRPr="006036BC" w:rsidRDefault="006036BC" w:rsidP="00EC2664">
      <w:pPr>
        <w:tabs>
          <w:tab w:val="left" w:pos="2282"/>
        </w:tabs>
        <w:spacing w:after="0" w:line="240" w:lineRule="auto"/>
        <w:ind w:firstLine="709"/>
        <w:jc w:val="both"/>
        <w:rPr>
          <w:rStyle w:val="fontstyle01"/>
          <w:rFonts w:ascii="Times New Roman" w:hAnsi="Times New Roman" w:cs="Times New Roman"/>
          <w:sz w:val="24"/>
          <w:szCs w:val="24"/>
        </w:rPr>
      </w:pPr>
    </w:p>
    <w:p w14:paraId="60F67F7E" w14:textId="0F85F3DA" w:rsidR="006036BC" w:rsidRPr="006036BC" w:rsidRDefault="006036BC" w:rsidP="006036BC">
      <w:pPr>
        <w:tabs>
          <w:tab w:val="left" w:pos="709"/>
        </w:tabs>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r w:rsidRPr="006036BC">
        <w:rPr>
          <w:rFonts w:ascii="Times New Roman" w:eastAsia="Times New Roman" w:hAnsi="Times New Roman" w:cs="Times New Roman"/>
          <w:b/>
          <w:color w:val="000000" w:themeColor="text1"/>
          <w:sz w:val="24"/>
          <w:szCs w:val="24"/>
          <w:u w:val="single"/>
          <w:lang w:eastAsia="ru-RU"/>
        </w:rPr>
        <w:t>Физическое воздействие</w:t>
      </w:r>
    </w:p>
    <w:p w14:paraId="30DDB078"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Источником шума в период эксплуатации объекта будет являться: </w:t>
      </w:r>
    </w:p>
    <w:p w14:paraId="43C7C7C1" w14:textId="2A0FF7E9"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rPr>
        <w:t xml:space="preserve"> • ВГУ (</w:t>
      </w:r>
      <w:r w:rsidR="002F5629">
        <w:rPr>
          <w:rFonts w:ascii="Times New Roman" w:hAnsi="Times New Roman" w:cs="Times New Roman"/>
          <w:sz w:val="24"/>
          <w:szCs w:val="24"/>
        </w:rPr>
        <w:t>47</w:t>
      </w:r>
      <w:r w:rsidRPr="006036BC">
        <w:rPr>
          <w:rFonts w:ascii="Times New Roman" w:hAnsi="Times New Roman" w:cs="Times New Roman"/>
          <w:sz w:val="24"/>
          <w:szCs w:val="24"/>
        </w:rPr>
        <w:t xml:space="preserve"> ед). </w:t>
      </w:r>
    </w:p>
    <w:p w14:paraId="624720FC"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Источником шума при строительстве будет являться: </w:t>
      </w:r>
    </w:p>
    <w:p w14:paraId="5DC956A3"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 • автотранспорт и спецтехника;</w:t>
      </w:r>
    </w:p>
    <w:p w14:paraId="100D850F"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rPr>
        <w:t xml:space="preserve"> • взрывные работы.</w:t>
      </w:r>
    </w:p>
    <w:p w14:paraId="765A8648" w14:textId="3E2FCDB0"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В период эксплуатации шумовой эффект будет наблюдаться непосредственно на территории расположения ВГУ. На расстоянии </w:t>
      </w:r>
      <w:r w:rsidR="002F5629">
        <w:rPr>
          <w:rFonts w:ascii="Times New Roman" w:hAnsi="Times New Roman" w:cs="Times New Roman"/>
          <w:sz w:val="24"/>
          <w:szCs w:val="24"/>
        </w:rPr>
        <w:t>801</w:t>
      </w:r>
      <w:r w:rsidRPr="006036BC">
        <w:rPr>
          <w:rFonts w:ascii="Times New Roman" w:hAnsi="Times New Roman" w:cs="Times New Roman"/>
          <w:sz w:val="24"/>
          <w:szCs w:val="24"/>
        </w:rPr>
        <w:t xml:space="preserve"> метров уровень звука не превысит 34 дБА.</w:t>
      </w:r>
    </w:p>
    <w:p w14:paraId="09DE74EA"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Согласно проведенному расчету звукового давления, максимальный уровень шума в период эксплуатации на границе ближайшей жилой зоны составляет </w:t>
      </w:r>
      <w:r w:rsidRPr="006036BC">
        <w:rPr>
          <w:rFonts w:ascii="Times New Roman" w:hAnsi="Times New Roman" w:cs="Times New Roman"/>
          <w:sz w:val="24"/>
          <w:szCs w:val="24"/>
          <w:lang w:val="kk-KZ"/>
        </w:rPr>
        <w:t xml:space="preserve">0 </w:t>
      </w:r>
      <w:r w:rsidRPr="006036BC">
        <w:rPr>
          <w:rFonts w:ascii="Times New Roman" w:hAnsi="Times New Roman" w:cs="Times New Roman"/>
          <w:sz w:val="24"/>
          <w:szCs w:val="24"/>
        </w:rPr>
        <w:t>дБА ввиду значительной удаленности от населенных пунктов.</w:t>
      </w:r>
    </w:p>
    <w:p w14:paraId="3637F91E"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В период строительства шумовой эффект будет наблюдаться непосредственно на площадке строительно-монтажных работ. Возможно некоторое повышение шума при передвижении автотранспорта, подвозящего строительные материалы, систему умягчителя и пр. к месту строительно-монтажных работ. Такое воздействие является локальным и временным. </w:t>
      </w:r>
    </w:p>
    <w:p w14:paraId="1C5CD203" w14:textId="60AD2CC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Согласно проведенному расчету звукового давления, максимальный уровень шума в период строительно-монтажных работ на границе с ближайшей жилой зоной составляет </w:t>
      </w:r>
      <w:r w:rsidR="00FC1E94">
        <w:rPr>
          <w:rFonts w:ascii="Times New Roman" w:hAnsi="Times New Roman" w:cs="Times New Roman"/>
          <w:sz w:val="24"/>
          <w:szCs w:val="24"/>
          <w:lang w:val="kk-KZ"/>
        </w:rPr>
        <w:t>ниже норматива</w:t>
      </w:r>
      <w:r w:rsidRPr="006036BC">
        <w:rPr>
          <w:rFonts w:ascii="Times New Roman" w:hAnsi="Times New Roman" w:cs="Times New Roman"/>
          <w:sz w:val="24"/>
          <w:szCs w:val="24"/>
          <w:lang w:val="kk-KZ"/>
        </w:rPr>
        <w:t xml:space="preserve"> </w:t>
      </w:r>
      <w:r w:rsidRPr="006036BC">
        <w:rPr>
          <w:rFonts w:ascii="Times New Roman" w:hAnsi="Times New Roman" w:cs="Times New Roman"/>
          <w:sz w:val="24"/>
          <w:szCs w:val="24"/>
        </w:rPr>
        <w:t>ввиду значительной удаленности от населенных пунктов.</w:t>
      </w:r>
    </w:p>
    <w:p w14:paraId="5D473309"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Касательно взрывных работ: Воздействие на акустическую среду при проведении взрывных работ носит кратковременный и локальный характер. Формируемый при взрыве шум относится к импульсному типу и характеризуется резким, однократным повышением уровня звукового давления с последующим быстрым затуханием. По спектральным характеристикам шум является широкополосным, охватывающим широкий диапазон частот. Продолжительность звукового воздействия составляет доли секунды, в связи с чем, </w:t>
      </w:r>
      <w:r w:rsidRPr="006036BC">
        <w:rPr>
          <w:rFonts w:ascii="Times New Roman" w:hAnsi="Times New Roman" w:cs="Times New Roman"/>
          <w:sz w:val="24"/>
          <w:szCs w:val="24"/>
        </w:rPr>
        <w:lastRenderedPageBreak/>
        <w:t>его влияние ограничено во времени и не формирует устойчивого шумового фона на прилегающей территории.</w:t>
      </w:r>
    </w:p>
    <w:p w14:paraId="0F7DC3DA" w14:textId="7687C476"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Проведение взрывных работ предусматривается с привлечением специализированной организации с соблюдением действующих норм и требований промышленной и экологической безопасности. Ближайшая жилая застройка расположена на расстоянии </w:t>
      </w:r>
      <w:r w:rsidR="001E093D">
        <w:rPr>
          <w:rFonts w:ascii="Times New Roman" w:hAnsi="Times New Roman" w:cs="Times New Roman"/>
          <w:sz w:val="24"/>
          <w:szCs w:val="24"/>
        </w:rPr>
        <w:t>24</w:t>
      </w:r>
      <w:r w:rsidRPr="006036BC">
        <w:rPr>
          <w:rFonts w:ascii="Times New Roman" w:hAnsi="Times New Roman" w:cs="Times New Roman"/>
          <w:sz w:val="24"/>
          <w:szCs w:val="24"/>
        </w:rPr>
        <w:t xml:space="preserve"> км от участка производства работ, что исключает значимое акустическое воздействие на население. На таком удалении уровни звукового давления от взрывов снижаются до фоновых значений и не оказывают влияния на условия проживания и здоровье населения.</w:t>
      </w:r>
    </w:p>
    <w:p w14:paraId="66CF4508"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Источником вибрации в рамках рассматриваемого проекта будут являться лопасти ротора ВГУ в период эксплуатации. Уровень вибрации будет находиться в пределах допустимых уровнях, установленных ГОСТ 31191.1-2004 «Вибрационная безопасность. Общие требования», ГОСТ 31191.2-2004, ГОСТ 31192.1-2004.</w:t>
      </w:r>
    </w:p>
    <w:p w14:paraId="38981EA5"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lang w:eastAsia="ar-SA"/>
        </w:rPr>
        <w:t>Тепловое воздействие на окружающую среду будет находиться в пределах допустимых норм. Дополнительного теплового влияния после реализации проекта на окружающую среду оказываться не будет.</w:t>
      </w:r>
    </w:p>
    <w:p w14:paraId="3EDC7882"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lang w:eastAsia="ar-SA"/>
        </w:rPr>
        <w:t>Электромагнитное воздействие на окружающую природную среду не будет превышать допустимые нормы, а, следовательно, и значительное электромагнитное влияние оказываться не будет.</w:t>
      </w:r>
    </w:p>
    <w:p w14:paraId="2B07E187"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rPr>
        <w:t>Промышленное оборудование и автотранспортные средства, привлекаемые для производства работ и перевозки грузов, изготовляются серийно, а уровень шума и вибрации при их работе соответствует допустимым уровням. В процессе эксплуатации оборудование своевременно будет проходить технический осмотр, и ремонтироваться, периодически контролироваться уровень шума и вибрации, не допуская их увеличения выше нормы.</w:t>
      </w:r>
    </w:p>
    <w:p w14:paraId="6863CAC3"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Уровень звукового давления от технологического оборудования на период СМР, не превысит допустимые санитарными нормами уровни звука, следовательно, значительное шумовое воздействие оказываться не будет.</w:t>
      </w:r>
    </w:p>
    <w:p w14:paraId="20E8BA34" w14:textId="77777777" w:rsidR="006036BC" w:rsidRPr="006036BC" w:rsidRDefault="006036BC" w:rsidP="006036BC">
      <w:pPr>
        <w:tabs>
          <w:tab w:val="left" w:pos="709"/>
        </w:tabs>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p>
    <w:p w14:paraId="57F15F62" w14:textId="16EAB081" w:rsidR="00FE4C98" w:rsidRPr="006036BC" w:rsidRDefault="00FE4C98" w:rsidP="007F1F4F">
      <w:pPr>
        <w:spacing w:after="0" w:line="240" w:lineRule="auto"/>
        <w:ind w:firstLine="709"/>
        <w:jc w:val="both"/>
        <w:rPr>
          <w:rFonts w:ascii="Times New Roman" w:eastAsia="Calibri" w:hAnsi="Times New Roman" w:cs="Times New Roman"/>
          <w:b/>
          <w:color w:val="000000" w:themeColor="text1"/>
          <w:sz w:val="24"/>
          <w:szCs w:val="24"/>
          <w:u w:val="single"/>
        </w:rPr>
      </w:pPr>
      <w:r w:rsidRPr="006036BC">
        <w:rPr>
          <w:rFonts w:ascii="Times New Roman" w:eastAsia="Calibri" w:hAnsi="Times New Roman" w:cs="Times New Roman"/>
          <w:b/>
          <w:color w:val="000000" w:themeColor="text1"/>
          <w:sz w:val="24"/>
          <w:szCs w:val="24"/>
          <w:u w:val="single"/>
        </w:rPr>
        <w:t>Воздействие на жизнь и (или) здоровье людей, условия их проживания и деятельности</w:t>
      </w:r>
    </w:p>
    <w:p w14:paraId="233B47DE" w14:textId="4EB4B8D4" w:rsidR="0009242B" w:rsidRPr="006036BC" w:rsidRDefault="00D22EDA" w:rsidP="007F1F4F">
      <w:pPr>
        <w:spacing w:after="0" w:line="240" w:lineRule="auto"/>
        <w:ind w:firstLine="709"/>
        <w:jc w:val="both"/>
        <w:rPr>
          <w:rFonts w:ascii="Times New Roman" w:eastAsia="Calibri" w:hAnsi="Times New Roman" w:cs="Times New Roman"/>
          <w:color w:val="000000" w:themeColor="text1"/>
          <w:sz w:val="24"/>
          <w:szCs w:val="24"/>
        </w:rPr>
      </w:pPr>
      <w:r w:rsidRPr="006036BC">
        <w:rPr>
          <w:rFonts w:ascii="Times New Roman" w:eastAsia="Calibri" w:hAnsi="Times New Roman" w:cs="Times New Roman"/>
          <w:color w:val="000000" w:themeColor="text1"/>
          <w:sz w:val="24"/>
          <w:szCs w:val="24"/>
        </w:rPr>
        <w:t>С</w:t>
      </w:r>
      <w:r w:rsidR="007F1F4F" w:rsidRPr="006036BC">
        <w:rPr>
          <w:rFonts w:ascii="Times New Roman" w:eastAsia="Calibri" w:hAnsi="Times New Roman" w:cs="Times New Roman"/>
          <w:color w:val="000000" w:themeColor="text1"/>
          <w:sz w:val="24"/>
          <w:szCs w:val="24"/>
        </w:rPr>
        <w:t>верхнормативного влияния на здоровье населения оказываться не будет, т.к. на основании проведенных расчетов, превышений предельных концентраций загрязняющих веществ в атмосфере на границе с жилой зоной</w:t>
      </w:r>
      <w:r w:rsidR="006036BC" w:rsidRPr="006036BC">
        <w:rPr>
          <w:rFonts w:ascii="Times New Roman" w:eastAsia="Calibri" w:hAnsi="Times New Roman" w:cs="Times New Roman"/>
          <w:color w:val="000000" w:themeColor="text1"/>
          <w:sz w:val="24"/>
          <w:szCs w:val="24"/>
        </w:rPr>
        <w:t xml:space="preserve"> </w:t>
      </w:r>
      <w:r w:rsidR="007F1F4F" w:rsidRPr="006036BC">
        <w:rPr>
          <w:rFonts w:ascii="Times New Roman" w:eastAsia="Calibri" w:hAnsi="Times New Roman" w:cs="Times New Roman"/>
          <w:color w:val="000000" w:themeColor="text1"/>
          <w:sz w:val="24"/>
          <w:szCs w:val="24"/>
        </w:rPr>
        <w:t>не обнаружено.</w:t>
      </w:r>
    </w:p>
    <w:p w14:paraId="23C82303" w14:textId="290959D4" w:rsidR="00AE3FBB" w:rsidRPr="006036BC" w:rsidRDefault="00C34252" w:rsidP="00AE3FB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036BC">
        <w:rPr>
          <w:rFonts w:ascii="Times New Roman" w:eastAsia="Calibri" w:hAnsi="Times New Roman" w:cs="Times New Roman"/>
          <w:color w:val="000000" w:themeColor="text1"/>
          <w:sz w:val="24"/>
          <w:szCs w:val="24"/>
        </w:rPr>
        <w:t xml:space="preserve">На основании выполненных расчетов, их анализа, а также учитывая принятые технологические решения, негативное воздействие на окружающую среду всех возможных факторов, способных возникнуть в результате осуществления намечаемой деятельности, будет ограничено </w:t>
      </w:r>
      <w:r w:rsidR="00AE3FBB" w:rsidRPr="006036BC">
        <w:rPr>
          <w:rFonts w:ascii="Times New Roman" w:eastAsia="Calibri" w:hAnsi="Times New Roman" w:cs="Times New Roman"/>
          <w:color w:val="000000" w:themeColor="text1"/>
          <w:sz w:val="24"/>
          <w:szCs w:val="24"/>
        </w:rPr>
        <w:t>территори</w:t>
      </w:r>
      <w:r w:rsidR="00461351" w:rsidRPr="006036BC">
        <w:rPr>
          <w:rFonts w:ascii="Times New Roman" w:eastAsia="Calibri" w:hAnsi="Times New Roman" w:cs="Times New Roman"/>
          <w:color w:val="000000" w:themeColor="text1"/>
          <w:sz w:val="24"/>
          <w:szCs w:val="24"/>
        </w:rPr>
        <w:t>ей</w:t>
      </w:r>
      <w:r w:rsidR="00AE3FBB" w:rsidRPr="006036BC">
        <w:rPr>
          <w:rFonts w:ascii="Times New Roman" w:eastAsia="Calibri" w:hAnsi="Times New Roman" w:cs="Times New Roman"/>
          <w:color w:val="000000" w:themeColor="text1"/>
          <w:sz w:val="24"/>
          <w:szCs w:val="24"/>
        </w:rPr>
        <w:t xml:space="preserve"> участк</w:t>
      </w:r>
      <w:r w:rsidR="00461351" w:rsidRPr="006036BC">
        <w:rPr>
          <w:rFonts w:ascii="Times New Roman" w:eastAsia="Calibri" w:hAnsi="Times New Roman" w:cs="Times New Roman"/>
          <w:color w:val="000000" w:themeColor="text1"/>
          <w:sz w:val="24"/>
          <w:szCs w:val="24"/>
        </w:rPr>
        <w:t>а</w:t>
      </w:r>
      <w:r w:rsidR="00AE3FBB" w:rsidRPr="006036BC">
        <w:rPr>
          <w:rFonts w:ascii="Times New Roman" w:eastAsia="Calibri" w:hAnsi="Times New Roman" w:cs="Times New Roman"/>
          <w:color w:val="000000" w:themeColor="text1"/>
          <w:sz w:val="24"/>
          <w:szCs w:val="24"/>
        </w:rPr>
        <w:t xml:space="preserve"> размещения </w:t>
      </w:r>
      <w:r w:rsidR="00E32C72" w:rsidRPr="006036BC">
        <w:rPr>
          <w:rFonts w:ascii="Times New Roman" w:eastAsia="Calibri" w:hAnsi="Times New Roman" w:cs="Times New Roman"/>
          <w:color w:val="000000" w:themeColor="text1"/>
          <w:sz w:val="24"/>
          <w:szCs w:val="24"/>
        </w:rPr>
        <w:t>объекта</w:t>
      </w:r>
      <w:r w:rsidRPr="006036BC">
        <w:rPr>
          <w:rFonts w:ascii="Times New Roman" w:eastAsia="Calibri" w:hAnsi="Times New Roman" w:cs="Times New Roman"/>
          <w:color w:val="000000" w:themeColor="text1"/>
          <w:sz w:val="24"/>
          <w:szCs w:val="24"/>
        </w:rPr>
        <w:t xml:space="preserve"> и не выйдет за </w:t>
      </w:r>
      <w:r w:rsidR="00E32C72" w:rsidRPr="006036BC">
        <w:rPr>
          <w:rFonts w:ascii="Times New Roman" w:eastAsia="Calibri" w:hAnsi="Times New Roman" w:cs="Times New Roman"/>
          <w:color w:val="000000" w:themeColor="text1"/>
          <w:sz w:val="24"/>
          <w:szCs w:val="24"/>
        </w:rPr>
        <w:t>его</w:t>
      </w:r>
      <w:r w:rsidRPr="006036BC">
        <w:rPr>
          <w:rFonts w:ascii="Times New Roman" w:eastAsia="Calibri" w:hAnsi="Times New Roman" w:cs="Times New Roman"/>
          <w:color w:val="000000" w:themeColor="text1"/>
          <w:sz w:val="24"/>
          <w:szCs w:val="24"/>
        </w:rPr>
        <w:t xml:space="preserve"> пределы.</w:t>
      </w:r>
      <w:r w:rsidR="00AE3FBB" w:rsidRPr="006036BC">
        <w:rPr>
          <w:rFonts w:ascii="Times New Roman" w:eastAsia="Times New Roman" w:hAnsi="Times New Roman" w:cs="Times New Roman"/>
          <w:color w:val="000000" w:themeColor="text1"/>
          <w:sz w:val="24"/>
          <w:szCs w:val="24"/>
          <w:lang w:eastAsia="ru-RU"/>
        </w:rPr>
        <w:t xml:space="preserve"> </w:t>
      </w:r>
    </w:p>
    <w:p w14:paraId="275B5487" w14:textId="77777777" w:rsidR="00EC2664" w:rsidRPr="006036BC" w:rsidRDefault="00EC2664" w:rsidP="00AE3FBB">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5624567" w14:textId="77777777" w:rsidR="00AE3FBB" w:rsidRPr="006036BC" w:rsidRDefault="00AE3FBB" w:rsidP="00AE3FBB">
      <w:pPr>
        <w:spacing w:after="0" w:line="240" w:lineRule="auto"/>
        <w:ind w:firstLine="709"/>
        <w:jc w:val="both"/>
        <w:rPr>
          <w:rFonts w:ascii="Times New Roman" w:hAnsi="Times New Roman" w:cs="Times New Roman"/>
          <w:b/>
          <w:color w:val="000000" w:themeColor="text1"/>
          <w:sz w:val="24"/>
          <w:szCs w:val="24"/>
          <w:u w:val="single"/>
        </w:rPr>
      </w:pPr>
      <w:r w:rsidRPr="006036BC">
        <w:rPr>
          <w:rFonts w:ascii="Times New Roman" w:hAnsi="Times New Roman" w:cs="Times New Roman"/>
          <w:b/>
          <w:color w:val="000000" w:themeColor="text1"/>
          <w:sz w:val="24"/>
          <w:szCs w:val="24"/>
          <w:u w:val="single"/>
        </w:rPr>
        <w:t>Выводы</w:t>
      </w:r>
    </w:p>
    <w:p w14:paraId="281C802C" w14:textId="5BDC4061" w:rsidR="007D3F72" w:rsidRPr="006036BC" w:rsidRDefault="00BA6574" w:rsidP="00EC2664">
      <w:pPr>
        <w:spacing w:after="0" w:line="240" w:lineRule="auto"/>
        <w:ind w:firstLine="709"/>
        <w:jc w:val="both"/>
        <w:rPr>
          <w:rFonts w:ascii="Times New Roman" w:eastAsia="Calibri" w:hAnsi="Times New Roman" w:cs="Times New Roman"/>
          <w:color w:val="000000" w:themeColor="text1"/>
          <w:sz w:val="24"/>
          <w:szCs w:val="24"/>
          <w:lang w:eastAsia="ru-RU"/>
        </w:rPr>
      </w:pPr>
      <w:r w:rsidRPr="006036BC">
        <w:rPr>
          <w:rFonts w:ascii="Times New Roman" w:eastAsia="Calibri" w:hAnsi="Times New Roman" w:cs="Times New Roman"/>
          <w:color w:val="000000" w:themeColor="text1"/>
          <w:sz w:val="24"/>
          <w:szCs w:val="24"/>
          <w:lang w:eastAsia="ru-RU"/>
        </w:rPr>
        <w:t>При соблюдении соответствующих норм и правил во время проведения работ, выполнении предусматриваемых технологических решений и рационального использования природных ресурсов, осуществление намечаемой деятельности не нарушит существующего экологического состояния, не даст материальных изменений в окружающей среде, отрицательного воздействия на здоровье населения не окажет. Существенный и необратимый вред ок</w:t>
      </w:r>
      <w:r w:rsidR="00EC2664" w:rsidRPr="006036BC">
        <w:rPr>
          <w:rFonts w:ascii="Times New Roman" w:eastAsia="Calibri" w:hAnsi="Times New Roman" w:cs="Times New Roman"/>
          <w:color w:val="000000" w:themeColor="text1"/>
          <w:sz w:val="24"/>
          <w:szCs w:val="24"/>
          <w:lang w:eastAsia="ru-RU"/>
        </w:rPr>
        <w:t>ружающей среде нанесен не будет.</w:t>
      </w:r>
    </w:p>
    <w:sectPr w:rsidR="007D3F72" w:rsidRPr="00603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altName w:val="MS Gothic"/>
    <w:panose1 w:val="00000000000000000000"/>
    <w:charset w:val="80"/>
    <w:family w:val="auto"/>
    <w:notTrueType/>
    <w:pitch w:val="default"/>
    <w:sig w:usb0="00000000" w:usb1="08070000" w:usb2="00000010" w:usb3="00000000" w:csb0="00020005"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B24"/>
    <w:multiLevelType w:val="hybridMultilevel"/>
    <w:tmpl w:val="BD0E79B2"/>
    <w:lvl w:ilvl="0" w:tplc="6792A2E6">
      <w:start w:val="1"/>
      <w:numFmt w:val="bullet"/>
      <w:lvlText w:val="-"/>
      <w:lvlJc w:val="left"/>
      <w:pPr>
        <w:ind w:left="1068" w:hanging="360"/>
      </w:pPr>
      <w:rPr>
        <w:rFonts w:ascii="Calibri" w:eastAsiaTheme="minorHAnsi" w:hAnsi="Calibri" w:cs="Calibri"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B0901FC"/>
    <w:multiLevelType w:val="hybridMultilevel"/>
    <w:tmpl w:val="BB5E79FC"/>
    <w:lvl w:ilvl="0" w:tplc="07E67A0A">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33F03020"/>
    <w:multiLevelType w:val="hybridMultilevel"/>
    <w:tmpl w:val="73B218B8"/>
    <w:lvl w:ilvl="0" w:tplc="259E6A68">
      <w:start w:val="1"/>
      <w:numFmt w:val="decimal"/>
      <w:lvlText w:val="%1."/>
      <w:lvlJc w:val="left"/>
      <w:pPr>
        <w:ind w:left="1684" w:hanging="975"/>
      </w:pPr>
      <w:rPr>
        <w:rFonts w:asciiTheme="minorHAnsi" w:eastAsiaTheme="minorHAnsi" w:hAnsiTheme="minorHAnsi"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0A66BB9"/>
    <w:multiLevelType w:val="multilevel"/>
    <w:tmpl w:val="D01431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6032D6B"/>
    <w:multiLevelType w:val="hybridMultilevel"/>
    <w:tmpl w:val="3C3E7F40"/>
    <w:lvl w:ilvl="0" w:tplc="F864A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92233768">
    <w:abstractNumId w:val="4"/>
  </w:num>
  <w:num w:numId="2" w16cid:durableId="1069887672">
    <w:abstractNumId w:val="2"/>
  </w:num>
  <w:num w:numId="3" w16cid:durableId="1950156977">
    <w:abstractNumId w:val="0"/>
  </w:num>
  <w:num w:numId="4" w16cid:durableId="1954359566">
    <w:abstractNumId w:val="1"/>
  </w:num>
  <w:num w:numId="5" w16cid:durableId="511989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697"/>
    <w:rsid w:val="00000392"/>
    <w:rsid w:val="00021781"/>
    <w:rsid w:val="00023BFE"/>
    <w:rsid w:val="0003191C"/>
    <w:rsid w:val="00044B1E"/>
    <w:rsid w:val="00063EEF"/>
    <w:rsid w:val="000721F7"/>
    <w:rsid w:val="00076AE7"/>
    <w:rsid w:val="000850E0"/>
    <w:rsid w:val="0009242B"/>
    <w:rsid w:val="000A6DA1"/>
    <w:rsid w:val="000A77F6"/>
    <w:rsid w:val="000B0107"/>
    <w:rsid w:val="000B0B6B"/>
    <w:rsid w:val="000B35FD"/>
    <w:rsid w:val="000B5319"/>
    <w:rsid w:val="000D47EE"/>
    <w:rsid w:val="000E1D8B"/>
    <w:rsid w:val="000F332C"/>
    <w:rsid w:val="001066E8"/>
    <w:rsid w:val="001202C8"/>
    <w:rsid w:val="0014775C"/>
    <w:rsid w:val="0014793C"/>
    <w:rsid w:val="00157773"/>
    <w:rsid w:val="00181416"/>
    <w:rsid w:val="00182614"/>
    <w:rsid w:val="001B6F3B"/>
    <w:rsid w:val="001E093D"/>
    <w:rsid w:val="001E2DA7"/>
    <w:rsid w:val="001F1B40"/>
    <w:rsid w:val="001F6598"/>
    <w:rsid w:val="002020B3"/>
    <w:rsid w:val="00205192"/>
    <w:rsid w:val="00207331"/>
    <w:rsid w:val="00214F70"/>
    <w:rsid w:val="00244BF0"/>
    <w:rsid w:val="00245E44"/>
    <w:rsid w:val="002519E7"/>
    <w:rsid w:val="00251B6F"/>
    <w:rsid w:val="0025564B"/>
    <w:rsid w:val="00262C9F"/>
    <w:rsid w:val="00273CB6"/>
    <w:rsid w:val="00275350"/>
    <w:rsid w:val="002774D6"/>
    <w:rsid w:val="00277EC2"/>
    <w:rsid w:val="0028452A"/>
    <w:rsid w:val="00286B0C"/>
    <w:rsid w:val="002A0E0D"/>
    <w:rsid w:val="002B4EA9"/>
    <w:rsid w:val="002C120E"/>
    <w:rsid w:val="002C510B"/>
    <w:rsid w:val="002E6BC9"/>
    <w:rsid w:val="002F5629"/>
    <w:rsid w:val="00312F73"/>
    <w:rsid w:val="00314D30"/>
    <w:rsid w:val="0032066B"/>
    <w:rsid w:val="003249F3"/>
    <w:rsid w:val="0033521B"/>
    <w:rsid w:val="003477DD"/>
    <w:rsid w:val="003619BC"/>
    <w:rsid w:val="00376EA8"/>
    <w:rsid w:val="00393037"/>
    <w:rsid w:val="003B287B"/>
    <w:rsid w:val="003B4D1E"/>
    <w:rsid w:val="003D32A3"/>
    <w:rsid w:val="003E1F9B"/>
    <w:rsid w:val="003E4922"/>
    <w:rsid w:val="003E680F"/>
    <w:rsid w:val="003F5ABE"/>
    <w:rsid w:val="00405FC6"/>
    <w:rsid w:val="00413F0C"/>
    <w:rsid w:val="00417173"/>
    <w:rsid w:val="00425D36"/>
    <w:rsid w:val="00427CA3"/>
    <w:rsid w:val="004460A9"/>
    <w:rsid w:val="00461351"/>
    <w:rsid w:val="00485CE9"/>
    <w:rsid w:val="00491261"/>
    <w:rsid w:val="004B73DB"/>
    <w:rsid w:val="004E6426"/>
    <w:rsid w:val="004E7AB3"/>
    <w:rsid w:val="005052A8"/>
    <w:rsid w:val="0052721A"/>
    <w:rsid w:val="005317E3"/>
    <w:rsid w:val="00531905"/>
    <w:rsid w:val="00533DDA"/>
    <w:rsid w:val="00534F0B"/>
    <w:rsid w:val="00536ED0"/>
    <w:rsid w:val="00542336"/>
    <w:rsid w:val="00551CA4"/>
    <w:rsid w:val="0055280E"/>
    <w:rsid w:val="00561E95"/>
    <w:rsid w:val="0056349D"/>
    <w:rsid w:val="005672FB"/>
    <w:rsid w:val="0059185C"/>
    <w:rsid w:val="00595630"/>
    <w:rsid w:val="005B1CD2"/>
    <w:rsid w:val="005C62CE"/>
    <w:rsid w:val="005D3E9D"/>
    <w:rsid w:val="005E76AC"/>
    <w:rsid w:val="005F73B7"/>
    <w:rsid w:val="00602F23"/>
    <w:rsid w:val="006036BC"/>
    <w:rsid w:val="00607C09"/>
    <w:rsid w:val="00615C98"/>
    <w:rsid w:val="0061696B"/>
    <w:rsid w:val="006318D8"/>
    <w:rsid w:val="00633E1A"/>
    <w:rsid w:val="00640668"/>
    <w:rsid w:val="006465C5"/>
    <w:rsid w:val="00653271"/>
    <w:rsid w:val="00653457"/>
    <w:rsid w:val="006571D4"/>
    <w:rsid w:val="006960DB"/>
    <w:rsid w:val="00697614"/>
    <w:rsid w:val="006A0324"/>
    <w:rsid w:val="006B07F9"/>
    <w:rsid w:val="006C1C5A"/>
    <w:rsid w:val="006C48C8"/>
    <w:rsid w:val="006E03A0"/>
    <w:rsid w:val="006E36EB"/>
    <w:rsid w:val="006E659F"/>
    <w:rsid w:val="00713DE1"/>
    <w:rsid w:val="007140E4"/>
    <w:rsid w:val="0071426C"/>
    <w:rsid w:val="00715C77"/>
    <w:rsid w:val="00716A68"/>
    <w:rsid w:val="00727AFD"/>
    <w:rsid w:val="00736DEE"/>
    <w:rsid w:val="0073722B"/>
    <w:rsid w:val="007469BD"/>
    <w:rsid w:val="00756AFA"/>
    <w:rsid w:val="007660DC"/>
    <w:rsid w:val="007760C8"/>
    <w:rsid w:val="007808A2"/>
    <w:rsid w:val="00782457"/>
    <w:rsid w:val="00786857"/>
    <w:rsid w:val="00790D8A"/>
    <w:rsid w:val="007915DA"/>
    <w:rsid w:val="00797ECC"/>
    <w:rsid w:val="007B4E33"/>
    <w:rsid w:val="007C09B8"/>
    <w:rsid w:val="007C53B5"/>
    <w:rsid w:val="007D3F72"/>
    <w:rsid w:val="007D4EF3"/>
    <w:rsid w:val="007D538C"/>
    <w:rsid w:val="007E2801"/>
    <w:rsid w:val="007E7154"/>
    <w:rsid w:val="007F1F4F"/>
    <w:rsid w:val="007F3DB7"/>
    <w:rsid w:val="00801220"/>
    <w:rsid w:val="008034CD"/>
    <w:rsid w:val="00805AF9"/>
    <w:rsid w:val="008469AA"/>
    <w:rsid w:val="0084796D"/>
    <w:rsid w:val="00850220"/>
    <w:rsid w:val="00855A75"/>
    <w:rsid w:val="00857A79"/>
    <w:rsid w:val="00875951"/>
    <w:rsid w:val="0088620D"/>
    <w:rsid w:val="00897CF5"/>
    <w:rsid w:val="008C71C6"/>
    <w:rsid w:val="008D11B6"/>
    <w:rsid w:val="008E0982"/>
    <w:rsid w:val="008F515B"/>
    <w:rsid w:val="00901462"/>
    <w:rsid w:val="009017C1"/>
    <w:rsid w:val="009128A4"/>
    <w:rsid w:val="00927230"/>
    <w:rsid w:val="0094773C"/>
    <w:rsid w:val="00970081"/>
    <w:rsid w:val="009716EE"/>
    <w:rsid w:val="0097635D"/>
    <w:rsid w:val="0099210E"/>
    <w:rsid w:val="009C0E13"/>
    <w:rsid w:val="009E0539"/>
    <w:rsid w:val="009E18D4"/>
    <w:rsid w:val="009F5752"/>
    <w:rsid w:val="00A031AD"/>
    <w:rsid w:val="00A157E9"/>
    <w:rsid w:val="00A308B5"/>
    <w:rsid w:val="00A4183D"/>
    <w:rsid w:val="00A4580C"/>
    <w:rsid w:val="00A51714"/>
    <w:rsid w:val="00A60108"/>
    <w:rsid w:val="00A604B8"/>
    <w:rsid w:val="00A639E7"/>
    <w:rsid w:val="00A657A8"/>
    <w:rsid w:val="00A9411F"/>
    <w:rsid w:val="00AB3287"/>
    <w:rsid w:val="00AC1AB5"/>
    <w:rsid w:val="00AC70DE"/>
    <w:rsid w:val="00AD2E1E"/>
    <w:rsid w:val="00AD6347"/>
    <w:rsid w:val="00AE2D1D"/>
    <w:rsid w:val="00AE3FBB"/>
    <w:rsid w:val="00AE476B"/>
    <w:rsid w:val="00AE5849"/>
    <w:rsid w:val="00B003A2"/>
    <w:rsid w:val="00B0046A"/>
    <w:rsid w:val="00B00C6A"/>
    <w:rsid w:val="00B0326B"/>
    <w:rsid w:val="00B17162"/>
    <w:rsid w:val="00B26697"/>
    <w:rsid w:val="00B26A1A"/>
    <w:rsid w:val="00B33DBB"/>
    <w:rsid w:val="00B37E40"/>
    <w:rsid w:val="00B41148"/>
    <w:rsid w:val="00B56A8A"/>
    <w:rsid w:val="00B91742"/>
    <w:rsid w:val="00B94279"/>
    <w:rsid w:val="00BA167E"/>
    <w:rsid w:val="00BA4CF6"/>
    <w:rsid w:val="00BA6574"/>
    <w:rsid w:val="00BB75F2"/>
    <w:rsid w:val="00BC4A5B"/>
    <w:rsid w:val="00BD3494"/>
    <w:rsid w:val="00BD5316"/>
    <w:rsid w:val="00C039F2"/>
    <w:rsid w:val="00C16209"/>
    <w:rsid w:val="00C34252"/>
    <w:rsid w:val="00C51BAD"/>
    <w:rsid w:val="00C6288D"/>
    <w:rsid w:val="00C935FB"/>
    <w:rsid w:val="00CC680B"/>
    <w:rsid w:val="00CE0568"/>
    <w:rsid w:val="00CF3E70"/>
    <w:rsid w:val="00D16084"/>
    <w:rsid w:val="00D22EDA"/>
    <w:rsid w:val="00D240A5"/>
    <w:rsid w:val="00D24D20"/>
    <w:rsid w:val="00D35769"/>
    <w:rsid w:val="00D36638"/>
    <w:rsid w:val="00D45255"/>
    <w:rsid w:val="00D47343"/>
    <w:rsid w:val="00D5095A"/>
    <w:rsid w:val="00D52947"/>
    <w:rsid w:val="00D5480B"/>
    <w:rsid w:val="00D55998"/>
    <w:rsid w:val="00D76A59"/>
    <w:rsid w:val="00D84868"/>
    <w:rsid w:val="00D87137"/>
    <w:rsid w:val="00DB0B85"/>
    <w:rsid w:val="00DB7471"/>
    <w:rsid w:val="00DC5A6B"/>
    <w:rsid w:val="00DD208E"/>
    <w:rsid w:val="00DD48B1"/>
    <w:rsid w:val="00DE7503"/>
    <w:rsid w:val="00DF55F2"/>
    <w:rsid w:val="00E014D9"/>
    <w:rsid w:val="00E32C72"/>
    <w:rsid w:val="00E35AC0"/>
    <w:rsid w:val="00E409F4"/>
    <w:rsid w:val="00E41D87"/>
    <w:rsid w:val="00E45310"/>
    <w:rsid w:val="00E53F07"/>
    <w:rsid w:val="00E747DD"/>
    <w:rsid w:val="00E8299B"/>
    <w:rsid w:val="00E91260"/>
    <w:rsid w:val="00EA315E"/>
    <w:rsid w:val="00EA4F2D"/>
    <w:rsid w:val="00EC2664"/>
    <w:rsid w:val="00EC4603"/>
    <w:rsid w:val="00ED1ECD"/>
    <w:rsid w:val="00EE4792"/>
    <w:rsid w:val="00EE5155"/>
    <w:rsid w:val="00EE67E9"/>
    <w:rsid w:val="00EF2526"/>
    <w:rsid w:val="00EF62E0"/>
    <w:rsid w:val="00F0263C"/>
    <w:rsid w:val="00F0523F"/>
    <w:rsid w:val="00F40C01"/>
    <w:rsid w:val="00F426F5"/>
    <w:rsid w:val="00F42ACC"/>
    <w:rsid w:val="00F509E7"/>
    <w:rsid w:val="00F545B3"/>
    <w:rsid w:val="00F827B6"/>
    <w:rsid w:val="00F85517"/>
    <w:rsid w:val="00F90E83"/>
    <w:rsid w:val="00F94BBC"/>
    <w:rsid w:val="00FA79E8"/>
    <w:rsid w:val="00FC1BC8"/>
    <w:rsid w:val="00FC1E94"/>
    <w:rsid w:val="00FC5345"/>
    <w:rsid w:val="00FE3AA8"/>
    <w:rsid w:val="00FE4C98"/>
    <w:rsid w:val="00FE7812"/>
    <w:rsid w:val="00FF4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6116F"/>
  <w15:docId w15:val="{EF952FE0-54D7-4E9C-9711-9B987BD8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Таблицы,punto elenco,Абзац списка - заголовок 3,strich,2nd Tier Header,маркированный,Citation List,Paragraph,Resume Title,List Paragraph Char Char,Bullet 1,List Paragraph1,b1,Number_1,SGLText List Paragraph,new,lp1,Normal Sentence"/>
    <w:basedOn w:val="Normal"/>
    <w:link w:val="ListParagraphChar"/>
    <w:uiPriority w:val="34"/>
    <w:qFormat/>
    <w:rsid w:val="00A4580C"/>
    <w:pPr>
      <w:spacing w:after="0" w:line="240" w:lineRule="auto"/>
      <w:ind w:left="720"/>
      <w:contextualSpacing/>
    </w:pPr>
    <w:rPr>
      <w:rFonts w:ascii="Times New Roman" w:eastAsia="Times New Roman" w:hAnsi="Times New Roman" w:cs="Times New Roman"/>
      <w:sz w:val="20"/>
      <w:szCs w:val="20"/>
      <w:lang w:eastAsia="ru-RU"/>
    </w:rPr>
  </w:style>
  <w:style w:type="paragraph" w:styleId="NormalWeb">
    <w:name w:val="Normal (Web)"/>
    <w:aliases w:val="Знак4 Знак Знак,Обычный (Web),Знак4,Знак4 Знак Знак Знак Знак,Знак4 Знак,caption,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link w:val="NormalWebChar"/>
    <w:uiPriority w:val="99"/>
    <w:qFormat/>
    <w:rsid w:val="00A45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har">
    <w:name w:val="List Paragraph Char"/>
    <w:aliases w:val="Таблицы Char,punto elenco Char,Абзац списка - заголовок 3 Char,strich Char,2nd Tier Header Char,маркированный Char,Citation List Char,Paragraph Char,Resume Title Char,List Paragraph Char Char Char,Bullet 1 Char,List Paragraph1 Char"/>
    <w:link w:val="ListParagraph"/>
    <w:uiPriority w:val="34"/>
    <w:qFormat/>
    <w:rsid w:val="00A4580C"/>
    <w:rPr>
      <w:rFonts w:ascii="Times New Roman" w:eastAsia="Times New Roman" w:hAnsi="Times New Roman" w:cs="Times New Roman"/>
      <w:sz w:val="20"/>
      <w:szCs w:val="20"/>
      <w:lang w:eastAsia="ru-RU"/>
    </w:rPr>
  </w:style>
  <w:style w:type="character" w:customStyle="1" w:styleId="NormalWebChar">
    <w:name w:val="Normal (Web) Char"/>
    <w:aliases w:val="Знак4 Знак Знак Char,Обычный (Web) Char,Знак4 Char,Знак4 Знак Знак Знак Знак Char,Знак4 Знак Char,caption Char"/>
    <w:link w:val="NormalWeb"/>
    <w:uiPriority w:val="99"/>
    <w:locked/>
    <w:rsid w:val="00A4580C"/>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4B7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3DB"/>
    <w:rPr>
      <w:rFonts w:ascii="Tahoma" w:hAnsi="Tahoma" w:cs="Tahoma"/>
      <w:sz w:val="16"/>
      <w:szCs w:val="16"/>
    </w:rPr>
  </w:style>
  <w:style w:type="table" w:styleId="TableGrid">
    <w:name w:val="Table Grid"/>
    <w:basedOn w:val="TableNormal"/>
    <w:uiPriority w:val="39"/>
    <w:rsid w:val="006E03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Текст Знак Char Char,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Текст Знак Знак Знак Знак"/>
    <w:basedOn w:val="Normal"/>
    <w:link w:val="PlainTextChar"/>
    <w:qFormat/>
    <w:rsid w:val="00B0046A"/>
    <w:pPr>
      <w:spacing w:after="0" w:line="240" w:lineRule="auto"/>
    </w:pPr>
    <w:rPr>
      <w:rFonts w:ascii="Courier New" w:eastAsia="Times New Roman" w:hAnsi="Courier New" w:cs="Times New Roman"/>
      <w:sz w:val="20"/>
      <w:szCs w:val="20"/>
      <w:lang w:eastAsia="ru-RU"/>
    </w:rPr>
  </w:style>
  <w:style w:type="character" w:customStyle="1" w:styleId="a">
    <w:name w:val="Текст Знак"/>
    <w:basedOn w:val="DefaultParagraphFont"/>
    <w:uiPriority w:val="99"/>
    <w:semiHidden/>
    <w:rsid w:val="00B0046A"/>
    <w:rPr>
      <w:rFonts w:ascii="Consolas" w:hAnsi="Consolas"/>
      <w:sz w:val="21"/>
      <w:szCs w:val="21"/>
    </w:rPr>
  </w:style>
  <w:style w:type="character" w:customStyle="1" w:styleId="PlainTextChar">
    <w:name w:val="Plain Text Char"/>
    <w:aliases w:val="Текст Знак Char Char Char,Текст Знак1 Знак1 Char,Текст Знак2 Знак Знак Char,Текст Знак Знак Знак1 Знак Char,Текст Знак2 Знак1 Знак Знак Знак1 Char,Текст Знак Знак1 Знак1 Знак Знак Знак1 Char,Текст Знак1 Знак Знак1 Знак Знак Знак1 Char"/>
    <w:link w:val="PlainText"/>
    <w:rsid w:val="00B0046A"/>
    <w:rPr>
      <w:rFonts w:ascii="Courier New" w:eastAsia="Times New Roman" w:hAnsi="Courier New" w:cs="Times New Roman"/>
      <w:sz w:val="20"/>
      <w:szCs w:val="20"/>
      <w:lang w:eastAsia="ru-RU"/>
    </w:rPr>
  </w:style>
  <w:style w:type="paragraph" w:styleId="BodyTextIndent">
    <w:name w:val="Body Text Indent"/>
    <w:basedOn w:val="Normal"/>
    <w:link w:val="BodyTextIndentChar"/>
    <w:rsid w:val="006036BC"/>
    <w:pPr>
      <w:spacing w:after="120" w:line="240" w:lineRule="auto"/>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6036BC"/>
    <w:rPr>
      <w:rFonts w:ascii="Times New Roman" w:eastAsia="Times New Roman" w:hAnsi="Times New Roman" w:cs="Times New Roman"/>
      <w:sz w:val="20"/>
      <w:szCs w:val="20"/>
      <w:lang w:eastAsia="ru-RU"/>
    </w:rPr>
  </w:style>
  <w:style w:type="character" w:customStyle="1" w:styleId="FontStyle19">
    <w:name w:val="Font Style19"/>
    <w:uiPriority w:val="99"/>
    <w:rsid w:val="006036BC"/>
    <w:rPr>
      <w:rFonts w:ascii="Times New Roman" w:hAnsi="Times New Roman" w:cs="Times New Roman"/>
      <w:sz w:val="22"/>
      <w:szCs w:val="22"/>
    </w:rPr>
  </w:style>
  <w:style w:type="character" w:customStyle="1" w:styleId="fontstyle01">
    <w:name w:val="fontstyle01"/>
    <w:basedOn w:val="DefaultParagraphFont"/>
    <w:rsid w:val="006036BC"/>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393654">
      <w:bodyDiv w:val="1"/>
      <w:marLeft w:val="0"/>
      <w:marRight w:val="0"/>
      <w:marTop w:val="0"/>
      <w:marBottom w:val="0"/>
      <w:divBdr>
        <w:top w:val="none" w:sz="0" w:space="0" w:color="auto"/>
        <w:left w:val="none" w:sz="0" w:space="0" w:color="auto"/>
        <w:bottom w:val="none" w:sz="0" w:space="0" w:color="auto"/>
        <w:right w:val="none" w:sz="0" w:space="0" w:color="auto"/>
      </w:divBdr>
    </w:div>
    <w:div w:id="132369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tatus xmlns="0878b0c9-5238-4d26-9cb5-d38306a4d228" xsi:nil="true"/>
    <_ip_UnifiedCompliancePolicyUIAction xmlns="http://schemas.microsoft.com/sharepoint/v3" xsi:nil="true"/>
    <TaxCatchAll xmlns="7741f8b0-be37-4f57-b6d4-c39bc4ea4a3d" xsi:nil="true"/>
    <lcf76f155ced4ddcb4097134ff3c332f xmlns="0878b0c9-5238-4d26-9cb5-d38306a4d228">
      <Terms xmlns="http://schemas.microsoft.com/office/infopath/2007/PartnerControls"/>
    </lcf76f155ced4ddcb4097134ff3c332f>
    <_ip_UnifiedCompliancePolicyProperties xmlns="http://schemas.microsoft.com/sharepoint/v3" xsi:nil="true"/>
    <Emplacement xmlns="0878b0c9-5238-4d26-9cb5-d38306a4d2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52B90F415C670B4C914B2556843705E4" ma:contentTypeVersion="23" ma:contentTypeDescription="Создание документа." ma:contentTypeScope="" ma:versionID="9167f40436bad5b7e652e7e34aa2f40c">
  <xsd:schema xmlns:xsd="http://www.w3.org/2001/XMLSchema" xmlns:xs="http://www.w3.org/2001/XMLSchema" xmlns:p="http://schemas.microsoft.com/office/2006/metadata/properties" xmlns:ns1="http://schemas.microsoft.com/sharepoint/v3" xmlns:ns2="0878b0c9-5238-4d26-9cb5-d38306a4d228" xmlns:ns3="7741f8b0-be37-4f57-b6d4-c39bc4ea4a3d" targetNamespace="http://schemas.microsoft.com/office/2006/metadata/properties" ma:root="true" ma:fieldsID="d504694c4751e793dfe980f600a01534" ns1:_="" ns2:_="" ns3:_="">
    <xsd:import namespace="http://schemas.microsoft.com/sharepoint/v3"/>
    <xsd:import namespace="0878b0c9-5238-4d26-9cb5-d38306a4d228"/>
    <xsd:import namespace="7741f8b0-be37-4f57-b6d4-c39bc4ea4a3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Status" minOccurs="0"/>
                <xsd:element ref="ns1:_ip_UnifiedCompliancePolicyProperties" minOccurs="0"/>
                <xsd:element ref="ns1:_ip_UnifiedCompliancePolicyUIAction" minOccurs="0"/>
                <xsd:element ref="ns2:MediaLengthInSeconds" minOccurs="0"/>
                <xsd:element ref="ns2:Emplacement" minOccurs="0"/>
                <xsd:element ref="ns2:CountryOrRegiond1a62837-7f7e-41a5-8571-4c7279b1f7d0" minOccurs="0"/>
                <xsd:element ref="ns2:Stated1a62837-7f7e-41a5-8571-4c7279b1f7d0" minOccurs="0"/>
                <xsd:element ref="ns2:Cityd1a62837-7f7e-41a5-8571-4c7279b1f7d0" minOccurs="0"/>
                <xsd:element ref="ns2:PostalCoded1a62837-7f7e-41a5-8571-4c7279b1f7d0" minOccurs="0"/>
                <xsd:element ref="ns2:Streetd1a62837-7f7e-41a5-8571-4c7279b1f7d0" minOccurs="0"/>
                <xsd:element ref="ns2:GeoLocd1a62837-7f7e-41a5-8571-4c7279b1f7d0" minOccurs="0"/>
                <xsd:element ref="ns2:DispNamed1a62837-7f7e-41a5-8571-4c7279b1f7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Свойства единой политики соответствия требованиям" ma:hidden="true" ma:internalName="_ip_UnifiedCompliancePolicyProperties">
      <xsd:simpleType>
        <xsd:restriction base="dms:Note"/>
      </xsd:simpleType>
    </xsd:element>
    <xsd:element name="_ip_UnifiedCompliancePolicyUIAction" ma:index="21" nillable="true" ma:displayName="Действие с пользовательским интерфейсом в рамках единой политики соответствия требованиям"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8b0c9-5238-4d26-9cb5-d38306a4d22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Теги изображений" ma:readOnly="false" ma:fieldId="{5cf76f15-5ced-4ddc-b409-7134ff3c332f}" ma:taxonomyMulti="true" ma:sspId="7d7a317d-19e9-4a41-b675-f2bd41b4cab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Status" ma:index="19" nillable="true" ma:displayName="Status" ma:format="Dropdown" ma:internalName="Status">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Emplacement" ma:index="23" nillable="true" ma:displayName="Emplacement" ma:format="Dropdown" ma:internalName="Emplacement">
      <xsd:simpleType>
        <xsd:restriction base="dms:Unknown"/>
      </xsd:simpleType>
    </xsd:element>
    <xsd:element name="CountryOrRegiond1a62837-7f7e-41a5-8571-4c7279b1f7d0" ma:index="24" nillable="true" ma:displayName="Emplacement : Pays/région" ma:internalName="CountryOrRegion" ma:readOnly="true">
      <xsd:simpleType>
        <xsd:restriction base="dms:Text"/>
      </xsd:simpleType>
    </xsd:element>
    <xsd:element name="Stated1a62837-7f7e-41a5-8571-4c7279b1f7d0" ma:index="25" nillable="true" ma:displayName="Emplacement : État" ma:internalName="State" ma:readOnly="true">
      <xsd:simpleType>
        <xsd:restriction base="dms:Text"/>
      </xsd:simpleType>
    </xsd:element>
    <xsd:element name="Cityd1a62837-7f7e-41a5-8571-4c7279b1f7d0" ma:index="26" nillable="true" ma:displayName="Emplacement : Ville" ma:internalName="City" ma:readOnly="true">
      <xsd:simpleType>
        <xsd:restriction base="dms:Text"/>
      </xsd:simpleType>
    </xsd:element>
    <xsd:element name="PostalCoded1a62837-7f7e-41a5-8571-4c7279b1f7d0" ma:index="27" nillable="true" ma:displayName="Emplacement : Code postal" ma:internalName="PostalCode" ma:readOnly="true">
      <xsd:simpleType>
        <xsd:restriction base="dms:Text"/>
      </xsd:simpleType>
    </xsd:element>
    <xsd:element name="Streetd1a62837-7f7e-41a5-8571-4c7279b1f7d0" ma:index="28" nillable="true" ma:displayName="Emplacement : Rue" ma:internalName="Street" ma:readOnly="true">
      <xsd:simpleType>
        <xsd:restriction base="dms:Text"/>
      </xsd:simpleType>
    </xsd:element>
    <xsd:element name="GeoLocd1a62837-7f7e-41a5-8571-4c7279b1f7d0" ma:index="29" nillable="true" ma:displayName="Emplacement : Coordonnées" ma:internalName="GeoLoc" ma:readOnly="true">
      <xsd:simpleType>
        <xsd:restriction base="dms:Unknown"/>
      </xsd:simpleType>
    </xsd:element>
    <xsd:element name="DispNamed1a62837-7f7e-41a5-8571-4c7279b1f7d0" ma:index="30" nillable="true" ma:displayName="Emplacement : no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1f8b0-be37-4f57-b6d4-c39bc4ea4a3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ce5d919-fd04-4bf3-8242-6e2cc70d35b8}" ma:internalName="TaxCatchAll" ma:showField="CatchAllData" ma:web="7741f8b0-be37-4f57-b6d4-c39bc4ea4a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5BAE1-4798-4A64-8264-93E1EB4E7AA9}">
  <ds:schemaRefs>
    <ds:schemaRef ds:uri="http://schemas.openxmlformats.org/officeDocument/2006/bibliography"/>
  </ds:schemaRefs>
</ds:datastoreItem>
</file>

<file path=customXml/itemProps2.xml><?xml version="1.0" encoding="utf-8"?>
<ds:datastoreItem xmlns:ds="http://schemas.openxmlformats.org/officeDocument/2006/customXml" ds:itemID="{09CC4BDC-4057-4EF1-B707-5749358B26EC}">
  <ds:schemaRefs>
    <ds:schemaRef ds:uri="http://schemas.microsoft.com/office/2006/metadata/properties"/>
    <ds:schemaRef ds:uri="http://schemas.microsoft.com/office/infopath/2007/PartnerControls"/>
    <ds:schemaRef ds:uri="0878b0c9-5238-4d26-9cb5-d38306a4d228"/>
    <ds:schemaRef ds:uri="http://schemas.microsoft.com/sharepoint/v3"/>
    <ds:schemaRef ds:uri="7741f8b0-be37-4f57-b6d4-c39bc4ea4a3d"/>
  </ds:schemaRefs>
</ds:datastoreItem>
</file>

<file path=customXml/itemProps3.xml><?xml version="1.0" encoding="utf-8"?>
<ds:datastoreItem xmlns:ds="http://schemas.openxmlformats.org/officeDocument/2006/customXml" ds:itemID="{FD099D90-1DFA-4872-87D9-DFA42E710591}">
  <ds:schemaRefs>
    <ds:schemaRef ds:uri="http://schemas.microsoft.com/sharepoint/v3/contenttype/forms"/>
  </ds:schemaRefs>
</ds:datastoreItem>
</file>

<file path=customXml/itemProps4.xml><?xml version="1.0" encoding="utf-8"?>
<ds:datastoreItem xmlns:ds="http://schemas.openxmlformats.org/officeDocument/2006/customXml" ds:itemID="{9ED77F7D-BE71-4CF1-AD89-7B465A9C9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78b0c9-5238-4d26-9cb5-d38306a4d228"/>
    <ds:schemaRef ds:uri="7741f8b0-be37-4f57-b6d4-c39bc4ea4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29e91b0-e21f-48fb-a071-456717ecc28e}" enabled="0" method="" siteId="{329e91b0-e21f-48fb-a071-456717ecc28e}"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7</Pages>
  <Words>2692</Words>
  <Characters>15349</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Aizhan KAMYSBAYEVA</cp:lastModifiedBy>
  <cp:revision>18</cp:revision>
  <cp:lastPrinted>2024-11-22T09:01:00Z</cp:lastPrinted>
  <dcterms:created xsi:type="dcterms:W3CDTF">2026-06-29T13:27:00Z</dcterms:created>
  <dcterms:modified xsi:type="dcterms:W3CDTF">2026-06-29T13:42:00Z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0x01010052B90F415C670B4C914B2556843705E4</vt:lpwstr>
  </property>
</Properties>
</file>