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2BFC" w14:textId="77777777" w:rsidR="005F4D41" w:rsidRPr="00B105FC" w:rsidRDefault="00CA4D7D" w:rsidP="005F4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НЕТЕХНИЧЕСКОЕ  </w:t>
      </w:r>
      <w:r w:rsidR="005F4D41" w:rsidRPr="00B105FC"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2ED24F92" w14:textId="5CACFE03" w:rsidR="005C1B69" w:rsidRPr="00AA1034" w:rsidRDefault="00503316" w:rsidP="008970B5">
      <w:pPr>
        <w:pStyle w:val="a4"/>
        <w:spacing w:before="0" w:beforeAutospacing="0" w:after="0" w:afterAutospacing="0" w:line="288" w:lineRule="auto"/>
        <w:jc w:val="center"/>
        <w:rPr>
          <w:b/>
          <w:caps/>
        </w:rPr>
      </w:pPr>
      <w:r>
        <w:rPr>
          <w:b/>
          <w:color w:val="000000"/>
        </w:rPr>
        <w:t>к</w:t>
      </w:r>
      <w:r w:rsidR="00AA1034">
        <w:rPr>
          <w:b/>
          <w:color w:val="000000"/>
        </w:rPr>
        <w:t xml:space="preserve"> </w:t>
      </w:r>
      <w:r w:rsidR="00697EAC" w:rsidRPr="00697EAC">
        <w:rPr>
          <w:b/>
          <w:color w:val="000000"/>
        </w:rPr>
        <w:t>План</w:t>
      </w:r>
      <w:r w:rsidR="00697EAC">
        <w:rPr>
          <w:b/>
          <w:color w:val="000000"/>
        </w:rPr>
        <w:t>у</w:t>
      </w:r>
      <w:r w:rsidR="00697EAC" w:rsidRPr="00697EAC">
        <w:rPr>
          <w:b/>
          <w:color w:val="000000"/>
        </w:rPr>
        <w:t xml:space="preserve"> горных работ на промышленную отработку каменного угля месторождения Сарыкум с материалами по оформлению Комплексного экологического разрешения</w:t>
      </w:r>
    </w:p>
    <w:p w14:paraId="55435287" w14:textId="77777777" w:rsidR="00AA663D" w:rsidRDefault="00AA663D" w:rsidP="00AA663D">
      <w:pPr>
        <w:pStyle w:val="a4"/>
        <w:spacing w:before="0" w:beforeAutospacing="0" w:after="0" w:afterAutospacing="0" w:line="288" w:lineRule="auto"/>
        <w:jc w:val="both"/>
        <w:rPr>
          <w:caps/>
        </w:rPr>
      </w:pPr>
    </w:p>
    <w:p w14:paraId="12C1F19E" w14:textId="1381E6BB" w:rsidR="00AA663D" w:rsidRDefault="00697EAC" w:rsidP="00AA1034">
      <w:pPr>
        <w:pStyle w:val="a0"/>
        <w:kinsoku w:val="0"/>
        <w:overflowPunct w:val="0"/>
        <w:spacing w:line="312" w:lineRule="auto"/>
        <w:ind w:right="-51" w:firstLine="567"/>
        <w:rPr>
          <w:sz w:val="24"/>
        </w:rPr>
      </w:pPr>
      <w:r>
        <w:rPr>
          <w:sz w:val="24"/>
        </w:rPr>
        <w:t xml:space="preserve">Проектная документация разработана на основании требований ст. 106 и 111 Экологического Кодекса Республики Казахстан. </w:t>
      </w:r>
    </w:p>
    <w:p w14:paraId="59653392" w14:textId="223BF0CE" w:rsidR="00697EAC" w:rsidRDefault="00697EAC" w:rsidP="00AA1034">
      <w:pPr>
        <w:pStyle w:val="a0"/>
        <w:kinsoku w:val="0"/>
        <w:overflowPunct w:val="0"/>
        <w:spacing w:line="312" w:lineRule="auto"/>
        <w:ind w:right="-51" w:firstLine="567"/>
        <w:rPr>
          <w:bCs/>
          <w:sz w:val="24"/>
        </w:rPr>
      </w:pPr>
      <w:r>
        <w:rPr>
          <w:sz w:val="24"/>
        </w:rPr>
        <w:t xml:space="preserve">Основание для оформления КЭР является выполнения требований ст. 217 Кодекса «О недрах и недропользования» РК. </w:t>
      </w:r>
    </w:p>
    <w:p w14:paraId="355EF571" w14:textId="77777777" w:rsidR="00AA1034" w:rsidRPr="00AA663D" w:rsidRDefault="00AA1034" w:rsidP="00AA663D">
      <w:pPr>
        <w:pStyle w:val="a0"/>
        <w:kinsoku w:val="0"/>
        <w:overflowPunct w:val="0"/>
        <w:ind w:right="-49" w:firstLine="567"/>
        <w:rPr>
          <w:sz w:val="24"/>
        </w:rPr>
      </w:pPr>
    </w:p>
    <w:p w14:paraId="16FACEFD" w14:textId="77777777" w:rsidR="00AA663D" w:rsidRPr="00AA663D" w:rsidRDefault="00AA663D" w:rsidP="00AA663D">
      <w:pPr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3D">
        <w:rPr>
          <w:rFonts w:ascii="Times New Roman" w:hAnsi="Times New Roman" w:cs="Times New Roman"/>
          <w:b/>
          <w:sz w:val="24"/>
          <w:szCs w:val="24"/>
        </w:rPr>
        <w:t>1) описание предполагаемого места осуществления намечаемой деятельности, план с изображением его границ:</w:t>
      </w:r>
    </w:p>
    <w:p w14:paraId="2EE378B5" w14:textId="77777777" w:rsidR="00AA663D" w:rsidRPr="00AA663D" w:rsidRDefault="00AA663D" w:rsidP="00AA1034">
      <w:pPr>
        <w:spacing w:after="0" w:line="312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AA66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Месторождение каменного угля Сарыкум расположено в северо-западном </w:t>
      </w:r>
      <w:proofErr w:type="spellStart"/>
      <w:r w:rsidRPr="00AA66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Прибалхашье</w:t>
      </w:r>
      <w:proofErr w:type="spellEnd"/>
      <w:r w:rsidRPr="00AA66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на территории Актогайского района Карагандинской области. г. Балхаш и ж.д. ст. Балхаш I, II, расположены в 56,5 км восточнее месторождения. </w:t>
      </w:r>
    </w:p>
    <w:p w14:paraId="679A8574" w14:textId="77777777" w:rsidR="00AA663D" w:rsidRPr="00AA663D" w:rsidRDefault="00AA663D" w:rsidP="00AA1034">
      <w:pPr>
        <w:spacing w:after="0" w:line="312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AA66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В северной части месторождения проходит железная дорога Актогай-Моинты. В районе ж.д. станции находится два карьера флюсовых известняков и две перерабатывающие дробильно-сортировочные станции. </w:t>
      </w:r>
    </w:p>
    <w:p w14:paraId="2DFE9AD8" w14:textId="77777777" w:rsidR="00AA663D" w:rsidRPr="00AA663D" w:rsidRDefault="00AA663D" w:rsidP="00AA1034">
      <w:pPr>
        <w:spacing w:after="0" w:line="312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AA663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Электроэнергией промышленные предприятия обеспечиваются от республиканской системы КЕГОК. В центральной части месторождения проходят две ЛЭП-110 кВ и 35 кВ, а вдоль железной дороги ЛЭП-35 кВ.</w:t>
      </w:r>
    </w:p>
    <w:p w14:paraId="1B8712EF" w14:textId="77777777" w:rsidR="00AA663D" w:rsidRPr="00AA663D" w:rsidRDefault="00AA663D" w:rsidP="00AA1034">
      <w:pPr>
        <w:pStyle w:val="a0"/>
        <w:kinsoku w:val="0"/>
        <w:overflowPunct w:val="0"/>
        <w:spacing w:line="312" w:lineRule="auto"/>
        <w:ind w:right="-49" w:firstLine="567"/>
        <w:rPr>
          <w:sz w:val="24"/>
        </w:rPr>
      </w:pPr>
      <w:r w:rsidRPr="00AA663D">
        <w:rPr>
          <w:rFonts w:eastAsia="Arial Unicode MS"/>
          <w:sz w:val="24"/>
          <w:lang w:bidi="ru-RU"/>
        </w:rPr>
        <w:t>В пределах площади месторождения рельеф представляет слабо волнистую равнину с наклоном на юг. Абсолютные отметки колеблются от 413,0 м на севере до  387,0 м на юге. Относительные превышения колеблются, в основном, от 2,0 до 5,0 м, реже до 10,0 м.</w:t>
      </w:r>
    </w:p>
    <w:p w14:paraId="27EE12B9" w14:textId="77777777" w:rsidR="00AA663D" w:rsidRPr="00AA663D" w:rsidRDefault="00AA663D" w:rsidP="00AA1034">
      <w:pPr>
        <w:pStyle w:val="a0"/>
        <w:kinsoku w:val="0"/>
        <w:overflowPunct w:val="0"/>
        <w:spacing w:line="312" w:lineRule="auto"/>
        <w:ind w:right="-49" w:firstLine="567"/>
        <w:rPr>
          <w:sz w:val="24"/>
        </w:rPr>
      </w:pPr>
      <w:r w:rsidRPr="00AA663D">
        <w:rPr>
          <w:sz w:val="24"/>
        </w:rPr>
        <w:t>Территория месторождения относится к весьма неразвитым промышленным районам. Плотность населения чрезвычайно низкая. На площади месторождения расположены пахотные и пастбищные земли.</w:t>
      </w:r>
    </w:p>
    <w:p w14:paraId="73510A03" w14:textId="77777777" w:rsidR="00AA663D" w:rsidRPr="00AA663D" w:rsidRDefault="00AA663D" w:rsidP="00AA1034">
      <w:pPr>
        <w:pStyle w:val="a0"/>
        <w:kinsoku w:val="0"/>
        <w:overflowPunct w:val="0"/>
        <w:spacing w:line="312" w:lineRule="auto"/>
        <w:ind w:right="-49" w:firstLine="567"/>
        <w:rPr>
          <w:sz w:val="24"/>
        </w:rPr>
      </w:pPr>
      <w:r w:rsidRPr="00AA663D">
        <w:rPr>
          <w:rFonts w:eastAsia="Arial Unicode MS"/>
          <w:sz w:val="24"/>
          <w:lang w:bidi="ru-RU"/>
        </w:rPr>
        <w:t>Учитывая высокое качество ископаемых углей (марка антрацит), основным потенциальным потребителем будет являться черная и цветная металлургия, а также для производства абсорбентов, электродов, электрокорунда, микрофонного порошка. Объёмы угля с низкими показателями несоответствующим марке антрацит, будут использованы для обогрева домов г. Балхаш и прилегающих селений Актогайского района.</w:t>
      </w:r>
    </w:p>
    <w:p w14:paraId="06FA07E2" w14:textId="77777777" w:rsidR="00AA663D" w:rsidRPr="00AA663D" w:rsidRDefault="00AA663D" w:rsidP="00AA1034">
      <w:pPr>
        <w:pStyle w:val="a0"/>
        <w:kinsoku w:val="0"/>
        <w:overflowPunct w:val="0"/>
        <w:spacing w:line="312" w:lineRule="auto"/>
        <w:ind w:right="-49" w:firstLine="567"/>
        <w:rPr>
          <w:sz w:val="24"/>
        </w:rPr>
      </w:pPr>
      <w:r w:rsidRPr="00AA663D">
        <w:rPr>
          <w:sz w:val="24"/>
        </w:rPr>
        <w:t>Ближайший населенный пункт расположен в северо-западном направлении на расстоянии 8,5 км. – это ж/д станция</w:t>
      </w:r>
      <w:r w:rsidRPr="00AA663D">
        <w:rPr>
          <w:sz w:val="24"/>
          <w:lang w:val="kk-KZ"/>
        </w:rPr>
        <w:t xml:space="preserve"> </w:t>
      </w:r>
      <w:r w:rsidRPr="00AA663D">
        <w:rPr>
          <w:sz w:val="24"/>
        </w:rPr>
        <w:t>Сарыкум и 24 км юго-восточнее месторождения располагается г. Гульшад.</w:t>
      </w:r>
    </w:p>
    <w:p w14:paraId="410D2711" w14:textId="77777777" w:rsidR="00AA663D" w:rsidRPr="004A5CE4" w:rsidRDefault="00AA663D" w:rsidP="00AA1034">
      <w:pPr>
        <w:pStyle w:val="a0"/>
        <w:kinsoku w:val="0"/>
        <w:overflowPunct w:val="0"/>
        <w:spacing w:line="312" w:lineRule="auto"/>
        <w:ind w:right="-49" w:firstLine="567"/>
      </w:pPr>
      <w:r w:rsidRPr="00AA663D">
        <w:rPr>
          <w:sz w:val="24"/>
        </w:rPr>
        <w:t>Санаториев и зон отдыха близ месторождения Сарыкум нет. Снос зеленых насаждений проектом не предусматривается.</w:t>
      </w:r>
    </w:p>
    <w:p w14:paraId="30A09955" w14:textId="77777777" w:rsidR="00AA663D" w:rsidRDefault="00AA663D" w:rsidP="00AA663D">
      <w:pPr>
        <w:pStyle w:val="2"/>
        <w:kinsoku w:val="0"/>
        <w:overflowPunct w:val="0"/>
        <w:ind w:right="-49"/>
        <w:jc w:val="center"/>
      </w:pPr>
      <w:r w:rsidRPr="006134A9">
        <w:rPr>
          <w:noProof/>
        </w:rPr>
        <w:lastRenderedPageBreak/>
        <w:drawing>
          <wp:inline distT="0" distB="0" distL="0" distR="0" wp14:anchorId="486DBEF9" wp14:editId="35443192">
            <wp:extent cx="5936615" cy="8402760"/>
            <wp:effectExtent l="19050" t="0" r="698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твалов уч. Сарыкум по этапам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4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29C6" w14:textId="77777777" w:rsidR="00AA663D" w:rsidRPr="004A5CE4" w:rsidRDefault="00AA663D" w:rsidP="00AA663D">
      <w:pPr>
        <w:pStyle w:val="a0"/>
        <w:kinsoku w:val="0"/>
        <w:overflowPunct w:val="0"/>
        <w:ind w:right="-49" w:firstLine="567"/>
      </w:pPr>
    </w:p>
    <w:p w14:paraId="257A46E1" w14:textId="77777777" w:rsidR="00AA663D" w:rsidRPr="004A5CE4" w:rsidRDefault="00AA663D" w:rsidP="00AA663D">
      <w:pPr>
        <w:pStyle w:val="1"/>
        <w:ind w:right="-49"/>
        <w:jc w:val="center"/>
        <w:rPr>
          <w:sz w:val="24"/>
          <w:szCs w:val="24"/>
        </w:rPr>
      </w:pPr>
      <w:bookmarkStart w:id="0" w:name="_Toc179961396"/>
      <w:bookmarkStart w:id="1" w:name="_Toc182239127"/>
      <w:bookmarkStart w:id="2" w:name="_Toc218819655"/>
      <w:r w:rsidRPr="004A5CE4">
        <w:rPr>
          <w:sz w:val="24"/>
          <w:szCs w:val="24"/>
        </w:rPr>
        <w:t xml:space="preserve">Рисунок 1. </w:t>
      </w:r>
      <w:bookmarkEnd w:id="0"/>
      <w:bookmarkEnd w:id="1"/>
      <w:r>
        <w:rPr>
          <w:sz w:val="24"/>
          <w:szCs w:val="24"/>
        </w:rPr>
        <w:t>План разреза</w:t>
      </w:r>
      <w:bookmarkEnd w:id="2"/>
    </w:p>
    <w:p w14:paraId="5EFDF72F" w14:textId="77777777" w:rsidR="00AA663D" w:rsidRPr="004A5CE4" w:rsidRDefault="00AA663D" w:rsidP="00AA663D">
      <w:pPr>
        <w:ind w:right="-49" w:firstLine="567"/>
        <w:jc w:val="both"/>
        <w:rPr>
          <w:b/>
        </w:rPr>
      </w:pPr>
    </w:p>
    <w:p w14:paraId="5000B0EC" w14:textId="77777777" w:rsidR="00AA663D" w:rsidRDefault="00AA663D" w:rsidP="00AA663D">
      <w:pPr>
        <w:rPr>
          <w:b/>
        </w:rPr>
      </w:pPr>
      <w:r>
        <w:rPr>
          <w:b/>
        </w:rPr>
        <w:br w:type="page"/>
      </w:r>
    </w:p>
    <w:p w14:paraId="4590285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lastRenderedPageBreak/>
        <w:t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отходов:</w:t>
      </w:r>
    </w:p>
    <w:p w14:paraId="4667C2C8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Актогайский район (</w:t>
      </w:r>
      <w:proofErr w:type="spellStart"/>
      <w:r w:rsidRPr="00503316">
        <w:rPr>
          <w:sz w:val="24"/>
        </w:rPr>
        <w:t>каз</w:t>
      </w:r>
      <w:proofErr w:type="spellEnd"/>
      <w:r w:rsidRPr="00503316">
        <w:rPr>
          <w:sz w:val="24"/>
        </w:rPr>
        <w:t xml:space="preserve">. </w:t>
      </w:r>
      <w:proofErr w:type="spellStart"/>
      <w:r w:rsidRPr="00503316">
        <w:rPr>
          <w:sz w:val="24"/>
        </w:rPr>
        <w:t>Ақтоғай</w:t>
      </w:r>
      <w:proofErr w:type="spellEnd"/>
      <w:r w:rsidRPr="00503316">
        <w:rPr>
          <w:sz w:val="24"/>
        </w:rPr>
        <w:t xml:space="preserve"> </w:t>
      </w:r>
      <w:proofErr w:type="spellStart"/>
      <w:r w:rsidRPr="00503316">
        <w:rPr>
          <w:sz w:val="24"/>
        </w:rPr>
        <w:t>ауданы</w:t>
      </w:r>
      <w:proofErr w:type="spellEnd"/>
      <w:r w:rsidRPr="00503316">
        <w:rPr>
          <w:sz w:val="24"/>
        </w:rPr>
        <w:t>) — административная единица в Карагандинской области Казахстана. Административный центр района — село Актогай. Территория района составляет 52,0 тыс. км.</w:t>
      </w:r>
    </w:p>
    <w:p w14:paraId="15A84934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В районе 34 села, 2 поселка и 15 сельских округов. Численность населения – 17 474 человек (2019).</w:t>
      </w:r>
    </w:p>
    <w:p w14:paraId="740CFB7F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Территория района находится на юго-востоке Казахского мелкосопочника, в зоне пустынь и полупустынь. По северной части района проходит основной водораздельный хребет Казахского мелкосопочника, представленный низкогорьями, среди которых возвышаются массивы </w:t>
      </w:r>
      <w:proofErr w:type="spellStart"/>
      <w:r w:rsidRPr="00503316">
        <w:rPr>
          <w:sz w:val="24"/>
        </w:rPr>
        <w:t>Кызыларай</w:t>
      </w:r>
      <w:proofErr w:type="spellEnd"/>
      <w:r w:rsidRPr="00503316">
        <w:rPr>
          <w:sz w:val="24"/>
        </w:rPr>
        <w:t xml:space="preserve"> (1565 м), </w:t>
      </w:r>
      <w:proofErr w:type="spellStart"/>
      <w:r w:rsidRPr="00503316">
        <w:rPr>
          <w:sz w:val="24"/>
        </w:rPr>
        <w:t>Кызылтас</w:t>
      </w:r>
      <w:proofErr w:type="spellEnd"/>
      <w:r w:rsidRPr="00503316">
        <w:rPr>
          <w:sz w:val="24"/>
        </w:rPr>
        <w:t xml:space="preserve"> (1238 м). Центральная часть — мелкосопочная, грядовая равнина, постепенно понижающаяся к озеру Балхаш. В недрах разведаны запасы медных, молибденовых, вольфрамовых, свинцовых, цинковых, железных руд, природных строительных материалов и других. Реки </w:t>
      </w:r>
      <w:proofErr w:type="spellStart"/>
      <w:r w:rsidRPr="00503316">
        <w:rPr>
          <w:sz w:val="24"/>
        </w:rPr>
        <w:t>Токрауын</w:t>
      </w:r>
      <w:proofErr w:type="spellEnd"/>
      <w:r w:rsidRPr="00503316">
        <w:rPr>
          <w:sz w:val="24"/>
        </w:rPr>
        <w:t xml:space="preserve">, Кусак, Каратал, </w:t>
      </w:r>
      <w:proofErr w:type="spellStart"/>
      <w:r w:rsidRPr="00503316">
        <w:rPr>
          <w:sz w:val="24"/>
        </w:rPr>
        <w:t>Каршыгалы</w:t>
      </w:r>
      <w:proofErr w:type="spellEnd"/>
      <w:r w:rsidRPr="00503316">
        <w:rPr>
          <w:sz w:val="24"/>
        </w:rPr>
        <w:t xml:space="preserve"> и другие начинаются на севере, текут с гор к озеру Балхаш, но часто не доходят до него.</w:t>
      </w:r>
    </w:p>
    <w:p w14:paraId="31192C67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Население занято в основном сельским хозяйством. Низкогорья </w:t>
      </w:r>
      <w:proofErr w:type="spellStart"/>
      <w:r w:rsidRPr="00503316">
        <w:rPr>
          <w:sz w:val="24"/>
        </w:rPr>
        <w:t>Кызыларай</w:t>
      </w:r>
      <w:proofErr w:type="spellEnd"/>
      <w:r w:rsidRPr="00503316">
        <w:rPr>
          <w:sz w:val="24"/>
        </w:rPr>
        <w:t xml:space="preserve"> и Бектауата имеют туристско-рекреационное значение. По территории района проходит автомобильная дорога Караганда — Актогай — Балхаш — Каркаралинск.</w:t>
      </w:r>
    </w:p>
    <w:p w14:paraId="2DC9293C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Тридцать шесть населенных пунктов района связаны сетью автомобильных дорог, телефонной сетью. В каждом селе с количеством населения более 50 человек есть школа, учреждение культуры и медицинская служба.</w:t>
      </w:r>
    </w:p>
    <w:p w14:paraId="193FB705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rFonts w:eastAsia="Calibri"/>
          <w:sz w:val="24"/>
        </w:rPr>
      </w:pPr>
      <w:r w:rsidRPr="00503316">
        <w:rPr>
          <w:sz w:val="24"/>
        </w:rPr>
        <w:t xml:space="preserve">По результатам расчета рассеивания загрязняющих веществ в приземном слое атмосферы установлено, что на границе СЗЗ предприятия (1000 м) нет превышений концентраций загрязняющих веществ, выбрасываемых предприятием. Следовательно, </w:t>
      </w:r>
      <w:r w:rsidRPr="00503316">
        <w:rPr>
          <w:rFonts w:eastAsia="Calibri"/>
          <w:sz w:val="24"/>
        </w:rPr>
        <w:t>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 за пределами СЗЗ нет.</w:t>
      </w:r>
    </w:p>
    <w:p w14:paraId="3C5CF496" w14:textId="77777777" w:rsidR="00AA663D" w:rsidRPr="00503316" w:rsidRDefault="00AA663D" w:rsidP="00503316">
      <w:pPr>
        <w:spacing w:before="240" w:after="0" w:line="264" w:lineRule="auto"/>
        <w:ind w:right="-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 xml:space="preserve">3) наименование инициатора намечаемой деятельности, его контактные данные: </w:t>
      </w:r>
    </w:p>
    <w:p w14:paraId="551FFA0E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ТОО «Alfa </w:t>
      </w:r>
      <w:proofErr w:type="spellStart"/>
      <w:r w:rsidRPr="00503316">
        <w:rPr>
          <w:sz w:val="24"/>
        </w:rPr>
        <w:t>Plast</w:t>
      </w:r>
      <w:proofErr w:type="spellEnd"/>
      <w:r w:rsidRPr="00503316">
        <w:rPr>
          <w:sz w:val="24"/>
        </w:rPr>
        <w:t xml:space="preserve">». </w:t>
      </w:r>
      <w:r w:rsidRPr="00503316">
        <w:rPr>
          <w:rStyle w:val="value"/>
          <w:color w:val="212121"/>
          <w:sz w:val="24"/>
          <w:bdr w:val="single" w:sz="2" w:space="0" w:color="E5E7EB" w:frame="1"/>
        </w:rPr>
        <w:t xml:space="preserve">050000, г. АЛМАТЫ, Медеуский </w:t>
      </w:r>
      <w:proofErr w:type="spellStart"/>
      <w:proofErr w:type="gramStart"/>
      <w:r w:rsidRPr="00503316">
        <w:rPr>
          <w:rStyle w:val="value"/>
          <w:color w:val="212121"/>
          <w:sz w:val="24"/>
          <w:bdr w:val="single" w:sz="2" w:space="0" w:color="E5E7EB" w:frame="1"/>
        </w:rPr>
        <w:t>район,Садоводческое</w:t>
      </w:r>
      <w:proofErr w:type="spellEnd"/>
      <w:proofErr w:type="gramEnd"/>
      <w:r w:rsidRPr="00503316">
        <w:rPr>
          <w:rStyle w:val="value"/>
          <w:color w:val="212121"/>
          <w:sz w:val="24"/>
          <w:bdr w:val="single" w:sz="2" w:space="0" w:color="E5E7EB" w:frame="1"/>
        </w:rPr>
        <w:t xml:space="preserve"> товарищество Курортное, д. 227. </w:t>
      </w:r>
      <w:r w:rsidRPr="00503316">
        <w:rPr>
          <w:bCs/>
          <w:sz w:val="24"/>
        </w:rPr>
        <w:t>БИН</w:t>
      </w:r>
      <w:r w:rsidRPr="00503316">
        <w:rPr>
          <w:rStyle w:val="af3"/>
          <w:rFonts w:eastAsiaTheme="minorHAnsi"/>
        </w:rPr>
        <w:t xml:space="preserve">: </w:t>
      </w:r>
      <w:r w:rsidRPr="00503316">
        <w:rPr>
          <w:sz w:val="24"/>
          <w:shd w:val="clear" w:color="auto" w:fill="FFFFFF"/>
        </w:rPr>
        <w:t>090840010071</w:t>
      </w:r>
      <w:r w:rsidRPr="00503316">
        <w:rPr>
          <w:i/>
          <w:sz w:val="24"/>
        </w:rPr>
        <w:t xml:space="preserve">, </w:t>
      </w:r>
      <w:r w:rsidRPr="00503316">
        <w:rPr>
          <w:sz w:val="24"/>
        </w:rPr>
        <w:t>тел.:</w:t>
      </w:r>
      <w:hyperlink r:id="rId6" w:history="1">
        <w:r w:rsidRPr="00503316">
          <w:rPr>
            <w:rStyle w:val="af"/>
            <w:color w:val="auto"/>
            <w:sz w:val="24"/>
          </w:rPr>
          <w:t>87014669229</w:t>
        </w:r>
      </w:hyperlink>
      <w:r w:rsidRPr="00503316">
        <w:rPr>
          <w:sz w:val="24"/>
        </w:rPr>
        <w:t xml:space="preserve">, </w:t>
      </w:r>
      <w:r w:rsidRPr="00503316">
        <w:rPr>
          <w:sz w:val="24"/>
          <w:lang w:val="en-US"/>
        </w:rPr>
        <w:t>e</w:t>
      </w:r>
      <w:r w:rsidRPr="00503316">
        <w:rPr>
          <w:sz w:val="24"/>
        </w:rPr>
        <w:t>-</w:t>
      </w:r>
      <w:r w:rsidRPr="00503316">
        <w:rPr>
          <w:sz w:val="24"/>
          <w:lang w:val="en-US"/>
        </w:rPr>
        <w:t>mail</w:t>
      </w:r>
      <w:r w:rsidRPr="00503316">
        <w:rPr>
          <w:sz w:val="24"/>
        </w:rPr>
        <w:t xml:space="preserve">: </w:t>
      </w:r>
      <w:hyperlink r:id="rId7" w:history="1">
        <w:r w:rsidRPr="00503316">
          <w:rPr>
            <w:rStyle w:val="af"/>
            <w:rFonts w:eastAsiaTheme="minorHAnsi"/>
            <w:sz w:val="24"/>
            <w:lang w:val="en-US"/>
          </w:rPr>
          <w:t>tema</w:t>
        </w:r>
        <w:r w:rsidRPr="00503316">
          <w:rPr>
            <w:rStyle w:val="af"/>
            <w:rFonts w:eastAsiaTheme="minorHAnsi"/>
            <w:sz w:val="24"/>
          </w:rPr>
          <w:t>1349@</w:t>
        </w:r>
        <w:r w:rsidRPr="00503316">
          <w:rPr>
            <w:rStyle w:val="af"/>
            <w:rFonts w:eastAsiaTheme="minorHAnsi"/>
            <w:sz w:val="24"/>
            <w:lang w:val="en-US"/>
          </w:rPr>
          <w:t>mail</w:t>
        </w:r>
        <w:r w:rsidRPr="00503316">
          <w:rPr>
            <w:rStyle w:val="af"/>
            <w:rFonts w:eastAsiaTheme="minorHAnsi"/>
            <w:sz w:val="24"/>
          </w:rPr>
          <w:t>.</w:t>
        </w:r>
        <w:r w:rsidRPr="00503316">
          <w:rPr>
            <w:rStyle w:val="af"/>
            <w:rFonts w:eastAsiaTheme="minorHAnsi"/>
            <w:sz w:val="24"/>
            <w:lang w:val="en-US"/>
          </w:rPr>
          <w:t>ru</w:t>
        </w:r>
      </w:hyperlink>
      <w:r w:rsidRPr="00503316">
        <w:rPr>
          <w:rFonts w:eastAsiaTheme="minorHAnsi"/>
          <w:sz w:val="24"/>
        </w:rPr>
        <w:t xml:space="preserve">; </w:t>
      </w:r>
      <w:r w:rsidRPr="00503316">
        <w:rPr>
          <w:sz w:val="24"/>
        </w:rPr>
        <w:t xml:space="preserve"> генеральный директор Метелев А.Н.</w:t>
      </w:r>
    </w:p>
    <w:p w14:paraId="46C8C393" w14:textId="77777777" w:rsidR="00AA663D" w:rsidRPr="00503316" w:rsidRDefault="00AA663D" w:rsidP="00503316">
      <w:pPr>
        <w:spacing w:before="240" w:after="0" w:line="264" w:lineRule="auto"/>
        <w:ind w:right="-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 xml:space="preserve">4) краткое описание намечаемой деятельности: </w:t>
      </w:r>
    </w:p>
    <w:p w14:paraId="1F03CC1A" w14:textId="77777777" w:rsidR="00AA663D" w:rsidRPr="00503316" w:rsidRDefault="00AA663D" w:rsidP="00503316">
      <w:pPr>
        <w:suppressAutoHyphens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Техническим заданием на проектирование проектная мощность разреза по добыче на месторождении Сарыкум принята от 10,0 тыс. т и до 1 000,0 тыс. т угля в год.</w:t>
      </w:r>
    </w:p>
    <w:p w14:paraId="6FB9B1EC" w14:textId="77777777" w:rsidR="00AA663D" w:rsidRPr="00503316" w:rsidRDefault="00AA663D" w:rsidP="00503316">
      <w:pPr>
        <w:suppressAutoHyphens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Подробный календарный план по годам приведен в Плане горных работ в разделе 5.4 «Календарный план отработки месторождения» в табл. 5.2.</w:t>
      </w:r>
    </w:p>
    <w:p w14:paraId="41EB9894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color w:val="000000" w:themeColor="text1"/>
          <w:sz w:val="24"/>
        </w:rPr>
      </w:pPr>
      <w:r w:rsidRPr="00503316">
        <w:rPr>
          <w:color w:val="000000" w:themeColor="text1"/>
          <w:sz w:val="24"/>
        </w:rPr>
        <w:t>Число рабочих дней в году при добыче 365 дней, 2 смены продолжительностью по 12 часов, каждая. На буровзрывных работах 300 дней, одна смена продолжительностью 12 часов. Режим работы разреза – вахтовый, продолжительность 15 суток.</w:t>
      </w:r>
    </w:p>
    <w:p w14:paraId="06494AB3" w14:textId="77777777" w:rsidR="00AA663D" w:rsidRPr="00503316" w:rsidRDefault="00AA663D" w:rsidP="00503316">
      <w:pPr>
        <w:suppressAutoHyphens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lastRenderedPageBreak/>
        <w:t xml:space="preserve">Для сохранения почвенных ресурсов, гумусовых отложений и для рекультивации последствий горных выработок Планом горных работ предусматривается снятие и сохранение плодородного слоя почвы. </w:t>
      </w:r>
    </w:p>
    <w:p w14:paraId="44C35BD7" w14:textId="77777777" w:rsidR="00AA663D" w:rsidRPr="00503316" w:rsidRDefault="00AA663D" w:rsidP="00503316">
      <w:pPr>
        <w:suppressAutoHyphens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Для обеспечения разреза готовыми к выемке запасами необходимо выполнение горно-вскрышных работ. Исходя из анализа горно-геологического залегания угольных пластов, вскрытие производится по наносам со стороны лежачего бока с проходкой стационарного съезда.</w:t>
      </w:r>
    </w:p>
    <w:p w14:paraId="15A72465" w14:textId="77777777" w:rsidR="00AA663D" w:rsidRPr="00503316" w:rsidRDefault="00AA663D" w:rsidP="00503316">
      <w:pPr>
        <w:suppressAutoHyphens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Объем работ по проходке стационарного съезда и разрезной траншеи составляет 596,6 тыс.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. Ширина разрезной траншеи по дну составляет 22,0 м; высота уступа 10,0 м. Угол откоса уступа разрезной траншеи составляет 60°. Отметка дна разрезной траншеи +385,0 м.</w:t>
      </w:r>
    </w:p>
    <w:p w14:paraId="482BEFA3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Проведение выездной траншеи производится по породам вскрыши гидравлическим экскаватором типа «обратная лопата» SDLG E6500F с погрузкой в автосамосвалы типа </w:t>
      </w:r>
      <w:r w:rsidRPr="00503316">
        <w:rPr>
          <w:sz w:val="24"/>
          <w:lang w:val="en-US"/>
        </w:rPr>
        <w:t>LGMG</w:t>
      </w:r>
      <w:r w:rsidRPr="00503316">
        <w:rPr>
          <w:sz w:val="24"/>
        </w:rPr>
        <w:t xml:space="preserve"> </w:t>
      </w:r>
      <w:r w:rsidRPr="00503316">
        <w:rPr>
          <w:sz w:val="24"/>
          <w:lang w:val="en-US"/>
        </w:rPr>
        <w:t>MT</w:t>
      </w:r>
      <w:r w:rsidRPr="00503316">
        <w:rPr>
          <w:sz w:val="24"/>
        </w:rPr>
        <w:t>86</w:t>
      </w:r>
      <w:r w:rsidRPr="00503316">
        <w:rPr>
          <w:sz w:val="24"/>
          <w:lang w:val="en-US"/>
        </w:rPr>
        <w:t>H</w:t>
      </w:r>
      <w:r w:rsidRPr="00503316">
        <w:rPr>
          <w:sz w:val="24"/>
        </w:rPr>
        <w:t xml:space="preserve"> (60 т). </w:t>
      </w:r>
    </w:p>
    <w:p w14:paraId="58951BDA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</w:p>
    <w:p w14:paraId="6B5A59A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</w:t>
      </w:r>
    </w:p>
    <w:p w14:paraId="042E453F" w14:textId="77777777" w:rsidR="00AA663D" w:rsidRPr="00503316" w:rsidRDefault="00AA663D" w:rsidP="00503316">
      <w:pPr>
        <w:suppressAutoHyphens/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3316">
        <w:rPr>
          <w:rFonts w:ascii="Times New Roman" w:hAnsi="Times New Roman" w:cs="Times New Roman"/>
          <w:color w:val="000000"/>
          <w:sz w:val="24"/>
          <w:szCs w:val="24"/>
        </w:rPr>
        <w:t>Площадь геологического отвода 23,97 кв. км. Каталог координат угловых точек лицензионной площади приведены в табл. 4.1.</w:t>
      </w:r>
    </w:p>
    <w:p w14:paraId="7E2332D0" w14:textId="77777777" w:rsidR="00503316" w:rsidRPr="00503316" w:rsidRDefault="00503316" w:rsidP="00503316">
      <w:pPr>
        <w:suppressAutoHyphens/>
        <w:spacing w:after="0" w:line="240" w:lineRule="auto"/>
        <w:jc w:val="both"/>
        <w:rPr>
          <w:color w:val="000000"/>
          <w:sz w:val="20"/>
          <w:szCs w:val="20"/>
        </w:rPr>
      </w:pPr>
    </w:p>
    <w:p w14:paraId="276146DB" w14:textId="77777777" w:rsidR="00AA663D" w:rsidRDefault="00AA663D" w:rsidP="00503316">
      <w:pPr>
        <w:pStyle w:val="af4"/>
        <w:spacing w:after="0"/>
        <w:ind w:firstLine="0"/>
        <w:rPr>
          <w:rFonts w:cs="Times New Roman"/>
          <w:b w:val="0"/>
          <w:color w:val="auto"/>
          <w:sz w:val="24"/>
          <w:szCs w:val="24"/>
        </w:rPr>
      </w:pPr>
      <w:r w:rsidRPr="00503316">
        <w:rPr>
          <w:rFonts w:cs="Times New Roman"/>
          <w:b w:val="0"/>
          <w:color w:val="auto"/>
          <w:sz w:val="24"/>
          <w:szCs w:val="24"/>
        </w:rPr>
        <w:t>Таблица 4.</w:t>
      </w:r>
      <w:r w:rsidRPr="00503316">
        <w:rPr>
          <w:rFonts w:cs="Times New Roman"/>
          <w:b w:val="0"/>
          <w:color w:val="auto"/>
          <w:sz w:val="24"/>
          <w:szCs w:val="24"/>
        </w:rPr>
        <w:fldChar w:fldCharType="begin"/>
      </w:r>
      <w:r w:rsidRPr="00503316">
        <w:rPr>
          <w:rFonts w:cs="Times New Roman"/>
          <w:b w:val="0"/>
          <w:color w:val="auto"/>
          <w:sz w:val="24"/>
          <w:szCs w:val="24"/>
        </w:rPr>
        <w:instrText xml:space="preserve"> SEQ Таблица \* ARABIC \s 1 </w:instrText>
      </w:r>
      <w:r w:rsidRPr="00503316">
        <w:rPr>
          <w:rFonts w:cs="Times New Roman"/>
          <w:b w:val="0"/>
          <w:color w:val="auto"/>
          <w:sz w:val="24"/>
          <w:szCs w:val="24"/>
        </w:rPr>
        <w:fldChar w:fldCharType="separate"/>
      </w:r>
      <w:r w:rsidRPr="00503316">
        <w:rPr>
          <w:rFonts w:cs="Times New Roman"/>
          <w:b w:val="0"/>
          <w:noProof/>
          <w:color w:val="auto"/>
          <w:sz w:val="24"/>
          <w:szCs w:val="24"/>
        </w:rPr>
        <w:t>1</w:t>
      </w:r>
      <w:r w:rsidRPr="00503316">
        <w:rPr>
          <w:rFonts w:cs="Times New Roman"/>
          <w:b w:val="0"/>
          <w:color w:val="auto"/>
          <w:sz w:val="24"/>
          <w:szCs w:val="24"/>
        </w:rPr>
        <w:fldChar w:fldCharType="end"/>
      </w:r>
      <w:r w:rsidRPr="00503316">
        <w:rPr>
          <w:rFonts w:cs="Times New Roman"/>
          <w:b w:val="0"/>
          <w:color w:val="auto"/>
          <w:sz w:val="24"/>
          <w:szCs w:val="24"/>
        </w:rPr>
        <w:t>. – Каталог координат углов лицензионной площади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544"/>
        <w:gridCol w:w="3544"/>
      </w:tblGrid>
      <w:tr w:rsidR="00AA663D" w:rsidRPr="00503316" w14:paraId="764EB013" w14:textId="77777777" w:rsidTr="00BF3EF1">
        <w:tc>
          <w:tcPr>
            <w:tcW w:w="2126" w:type="dxa"/>
            <w:vMerge w:val="restart"/>
            <w:vAlign w:val="center"/>
          </w:tcPr>
          <w:p w14:paraId="59E80B9C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№№ точки</w:t>
            </w:r>
          </w:p>
        </w:tc>
        <w:tc>
          <w:tcPr>
            <w:tcW w:w="7088" w:type="dxa"/>
            <w:gridSpan w:val="2"/>
            <w:vAlign w:val="center"/>
          </w:tcPr>
          <w:p w14:paraId="36124786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Координаты</w:t>
            </w:r>
          </w:p>
        </w:tc>
      </w:tr>
      <w:tr w:rsidR="00AA663D" w:rsidRPr="00503316" w14:paraId="0B3446CA" w14:textId="77777777" w:rsidTr="00BF3EF1">
        <w:tc>
          <w:tcPr>
            <w:tcW w:w="2126" w:type="dxa"/>
            <w:vMerge/>
            <w:vAlign w:val="center"/>
          </w:tcPr>
          <w:p w14:paraId="43C5C549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52E4914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Северная широта</w:t>
            </w:r>
          </w:p>
        </w:tc>
        <w:tc>
          <w:tcPr>
            <w:tcW w:w="3544" w:type="dxa"/>
            <w:vAlign w:val="center"/>
          </w:tcPr>
          <w:p w14:paraId="2BB649A7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Восточная долгота</w:t>
            </w:r>
          </w:p>
        </w:tc>
      </w:tr>
      <w:tr w:rsidR="00AA663D" w:rsidRPr="00503316" w14:paraId="5E9C6E7D" w14:textId="77777777" w:rsidTr="00BF3EF1">
        <w:tc>
          <w:tcPr>
            <w:tcW w:w="2126" w:type="dxa"/>
            <w:vAlign w:val="center"/>
          </w:tcPr>
          <w:p w14:paraId="6F8C72EB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14:paraId="7A21A2C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 57' 30"</w:t>
            </w:r>
          </w:p>
        </w:tc>
        <w:tc>
          <w:tcPr>
            <w:tcW w:w="3544" w:type="dxa"/>
          </w:tcPr>
          <w:p w14:paraId="776E541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07' 40"</w:t>
            </w:r>
          </w:p>
        </w:tc>
      </w:tr>
      <w:tr w:rsidR="00AA663D" w:rsidRPr="00503316" w14:paraId="0561ACA1" w14:textId="77777777" w:rsidTr="00BF3EF1">
        <w:tc>
          <w:tcPr>
            <w:tcW w:w="2126" w:type="dxa"/>
            <w:vAlign w:val="center"/>
          </w:tcPr>
          <w:p w14:paraId="3247888E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14:paraId="7D4E6C9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 57' 30"</w:t>
            </w:r>
          </w:p>
        </w:tc>
        <w:tc>
          <w:tcPr>
            <w:tcW w:w="3544" w:type="dxa"/>
          </w:tcPr>
          <w:p w14:paraId="44A83E0F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18' 40"</w:t>
            </w:r>
          </w:p>
        </w:tc>
      </w:tr>
      <w:tr w:rsidR="00AA663D" w:rsidRPr="00503316" w14:paraId="6633DFCB" w14:textId="77777777" w:rsidTr="00BF3EF1">
        <w:tc>
          <w:tcPr>
            <w:tcW w:w="2126" w:type="dxa"/>
            <w:vAlign w:val="center"/>
          </w:tcPr>
          <w:p w14:paraId="0F28548A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3</w:t>
            </w:r>
          </w:p>
        </w:tc>
        <w:tc>
          <w:tcPr>
            <w:tcW w:w="3544" w:type="dxa"/>
          </w:tcPr>
          <w:p w14:paraId="193FE08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 47' 36"</w:t>
            </w:r>
          </w:p>
        </w:tc>
        <w:tc>
          <w:tcPr>
            <w:tcW w:w="3544" w:type="dxa"/>
          </w:tcPr>
          <w:p w14:paraId="4294EC2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18' 40"</w:t>
            </w:r>
          </w:p>
        </w:tc>
      </w:tr>
      <w:tr w:rsidR="00AA663D" w:rsidRPr="00503316" w14:paraId="762B09D8" w14:textId="77777777" w:rsidTr="00BF3EF1">
        <w:tc>
          <w:tcPr>
            <w:tcW w:w="2126" w:type="dxa"/>
            <w:vAlign w:val="center"/>
          </w:tcPr>
          <w:p w14:paraId="6F1D49DB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14:paraId="51A751F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46°47' 36"</w:t>
            </w:r>
          </w:p>
        </w:tc>
        <w:tc>
          <w:tcPr>
            <w:tcW w:w="3544" w:type="dxa"/>
          </w:tcPr>
          <w:p w14:paraId="1B0050D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12' 50"</w:t>
            </w:r>
          </w:p>
        </w:tc>
      </w:tr>
      <w:tr w:rsidR="00AA663D" w:rsidRPr="00503316" w14:paraId="04777426" w14:textId="77777777" w:rsidTr="00BF3EF1">
        <w:tc>
          <w:tcPr>
            <w:tcW w:w="2126" w:type="dxa"/>
            <w:vAlign w:val="center"/>
          </w:tcPr>
          <w:p w14:paraId="6C25A252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14:paraId="7AD1118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 48' 57"</w:t>
            </w:r>
          </w:p>
        </w:tc>
        <w:tc>
          <w:tcPr>
            <w:tcW w:w="3544" w:type="dxa"/>
          </w:tcPr>
          <w:p w14:paraId="419B78D6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12' 50"</w:t>
            </w:r>
          </w:p>
        </w:tc>
      </w:tr>
      <w:tr w:rsidR="00AA663D" w:rsidRPr="00503316" w14:paraId="3B8D4047" w14:textId="77777777" w:rsidTr="00BF3EF1">
        <w:tc>
          <w:tcPr>
            <w:tcW w:w="2126" w:type="dxa"/>
            <w:vAlign w:val="center"/>
          </w:tcPr>
          <w:p w14:paraId="75AF9770" w14:textId="77777777" w:rsidR="00AA663D" w:rsidRPr="00503316" w:rsidRDefault="00AA663D" w:rsidP="00503316">
            <w:pPr>
              <w:pStyle w:val="Default"/>
              <w:jc w:val="center"/>
              <w:rPr>
                <w:color w:val="000000" w:themeColor="text1"/>
              </w:rPr>
            </w:pPr>
            <w:r w:rsidRPr="00503316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14:paraId="6C51A862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46°49' 00"</w:t>
            </w:r>
          </w:p>
        </w:tc>
        <w:tc>
          <w:tcPr>
            <w:tcW w:w="3544" w:type="dxa"/>
          </w:tcPr>
          <w:p w14:paraId="13B5ABD2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74° 07' 40"</w:t>
            </w:r>
          </w:p>
        </w:tc>
      </w:tr>
    </w:tbl>
    <w:p w14:paraId="34E7A4FB" w14:textId="77777777" w:rsidR="00AA663D" w:rsidRPr="004A5CE4" w:rsidRDefault="00AA663D" w:rsidP="00AA663D">
      <w:pPr>
        <w:ind w:right="-49" w:firstLine="567"/>
        <w:jc w:val="both"/>
      </w:pPr>
    </w:p>
    <w:p w14:paraId="35B10C13" w14:textId="77777777" w:rsidR="00AA663D" w:rsidRPr="00503316" w:rsidRDefault="00AA663D" w:rsidP="00503316">
      <w:pPr>
        <w:pStyle w:val="211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Земельный участок административно находится в Актогайском районе Карагандинской области.</w:t>
      </w:r>
    </w:p>
    <w:p w14:paraId="6428F50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Категория земель: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p w14:paraId="124D6D0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Целевое назначение: </w:t>
      </w:r>
      <w:r w:rsidRPr="00503316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операций по недропользованию.</w:t>
      </w:r>
    </w:p>
    <w:p w14:paraId="3F5D858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3316">
        <w:rPr>
          <w:rFonts w:ascii="Times New Roman" w:hAnsi="Times New Roman" w:cs="Times New Roman"/>
          <w:sz w:val="24"/>
          <w:szCs w:val="24"/>
          <w:shd w:val="clear" w:color="auto" w:fill="FFFFFF"/>
        </w:rPr>
        <w:t>ТОО «</w:t>
      </w:r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Alfa </w:t>
      </w:r>
      <w:proofErr w:type="spellStart"/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Plast</w:t>
      </w:r>
      <w:proofErr w:type="spellEnd"/>
      <w:r w:rsidRPr="00503316">
        <w:rPr>
          <w:rFonts w:ascii="Times New Roman" w:hAnsi="Times New Roman" w:cs="Times New Roman"/>
          <w:sz w:val="24"/>
          <w:szCs w:val="24"/>
          <w:shd w:val="clear" w:color="auto" w:fill="FFFFFF"/>
        </w:rPr>
        <w:t>» осуществляет деятельность на выданных в аренду земельных участках, соблюдая требования санитарных и экологических норм.</w:t>
      </w:r>
    </w:p>
    <w:p w14:paraId="01D97FC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073A4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материалах:</w:t>
      </w:r>
    </w:p>
    <w:p w14:paraId="00527E00" w14:textId="77777777" w:rsidR="00503316" w:rsidRDefault="0050331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_Toc217744359"/>
      <w:r>
        <w:rPr>
          <w:rFonts w:eastAsia="Calibri"/>
        </w:rPr>
        <w:br w:type="page"/>
      </w:r>
    </w:p>
    <w:p w14:paraId="77B87AD2" w14:textId="77777777" w:rsidR="00AA663D" w:rsidRPr="007021AF" w:rsidRDefault="00AA663D" w:rsidP="00503316">
      <w:pPr>
        <w:pStyle w:val="Default"/>
        <w:spacing w:line="264" w:lineRule="auto"/>
        <w:rPr>
          <w:rFonts w:eastAsia="Calibri"/>
        </w:rPr>
      </w:pPr>
      <w:r w:rsidRPr="00503316">
        <w:rPr>
          <w:rFonts w:eastAsia="Calibri"/>
        </w:rPr>
        <w:lastRenderedPageBreak/>
        <w:t>Основные исходные данные</w:t>
      </w:r>
      <w:bookmarkEnd w:id="3"/>
    </w:p>
    <w:p w14:paraId="7B4CCCAA" w14:textId="77777777" w:rsidR="00AA663D" w:rsidRPr="007021AF" w:rsidRDefault="00AA663D" w:rsidP="00AA663D">
      <w:pPr>
        <w:suppressAutoHyphens/>
        <w:rPr>
          <w:rFonts w:eastAsia="Calibri"/>
          <w:color w:val="000000"/>
          <w:sz w:val="10"/>
          <w:szCs w:val="10"/>
        </w:rPr>
      </w:pPr>
    </w:p>
    <w:tbl>
      <w:tblPr>
        <w:tblW w:w="498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6"/>
        <w:gridCol w:w="929"/>
        <w:gridCol w:w="836"/>
        <w:gridCol w:w="956"/>
        <w:gridCol w:w="956"/>
        <w:gridCol w:w="836"/>
        <w:gridCol w:w="919"/>
      </w:tblGrid>
      <w:tr w:rsidR="00AA663D" w:rsidRPr="00503316" w14:paraId="1F3100D2" w14:textId="77777777" w:rsidTr="00BF3EF1">
        <w:trPr>
          <w:trHeight w:val="300"/>
        </w:trPr>
        <w:tc>
          <w:tcPr>
            <w:tcW w:w="1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801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0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75E0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по разрезу</w:t>
            </w:r>
          </w:p>
        </w:tc>
      </w:tr>
      <w:tr w:rsidR="00AA663D" w:rsidRPr="00503316" w14:paraId="4DA5F590" w14:textId="77777777" w:rsidTr="00BF3EF1">
        <w:trPr>
          <w:trHeight w:val="300"/>
        </w:trPr>
        <w:tc>
          <w:tcPr>
            <w:tcW w:w="1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4817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5EF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F86F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A31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E75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F3D6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1CB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</w:t>
            </w:r>
          </w:p>
        </w:tc>
      </w:tr>
      <w:tr w:rsidR="00AA663D" w:rsidRPr="00503316" w14:paraId="1D25CFD5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7CC9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объем добычи угля, тыс. т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254D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E59A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E44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DBB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281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4B7D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AA663D" w:rsidRPr="00503316" w14:paraId="1AC80A59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D48D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объем вскрыши, тыс. м3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B9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1314,88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E4E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5584,37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B42D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11168,74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08C6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11168,74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7962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7398,56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7C5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3699,28</w:t>
            </w:r>
          </w:p>
        </w:tc>
      </w:tr>
      <w:tr w:rsidR="00AA663D" w:rsidRPr="00503316" w14:paraId="4B78FDC1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ABD0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объем горной массы, тыс. м3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F5D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1329,58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456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6319,37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4EB9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12638,74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BB91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12638,74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7189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8868,56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4FA9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4434,28</w:t>
            </w:r>
          </w:p>
        </w:tc>
      </w:tr>
      <w:tr w:rsidR="00AA663D" w:rsidRPr="00503316" w14:paraId="6527C36D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BC96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вскрыши, м3/т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C0C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568D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4B4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6D10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ADD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FA30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7,40</w:t>
            </w:r>
          </w:p>
        </w:tc>
      </w:tr>
      <w:tr w:rsidR="00AA663D" w:rsidRPr="00503316" w14:paraId="0E930058" w14:textId="77777777" w:rsidTr="00BF3EF1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0B15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 по основным производственным процессам:</w:t>
            </w:r>
          </w:p>
        </w:tc>
      </w:tr>
      <w:tr w:rsidR="00AA663D" w:rsidRPr="00503316" w14:paraId="7FFC7ED6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F009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рабочих дней в году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485C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90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5EE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32C2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25D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F85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</w:tr>
      <w:tr w:rsidR="00AA663D" w:rsidRPr="00503316" w14:paraId="508B0D7C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CD28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смен в сутки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4349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1380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D005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2456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CCE3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EB8C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A663D" w:rsidRPr="00503316" w14:paraId="1C7F3A91" w14:textId="77777777" w:rsidTr="00BF3EF1">
        <w:trPr>
          <w:trHeight w:val="300"/>
        </w:trPr>
        <w:tc>
          <w:tcPr>
            <w:tcW w:w="1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2DA9" w14:textId="77777777" w:rsidR="00AA663D" w:rsidRPr="00503316" w:rsidRDefault="00AA663D" w:rsidP="005033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продолжительность смены, ч.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572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4EB0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861C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C7A7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FF39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854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57F67D4E" w14:textId="77777777" w:rsidR="00AA663D" w:rsidRDefault="00AA663D" w:rsidP="00AA663D">
      <w:pPr>
        <w:pStyle w:val="a0"/>
        <w:kinsoku w:val="0"/>
        <w:overflowPunct w:val="0"/>
        <w:ind w:right="-49" w:firstLine="567"/>
        <w:rPr>
          <w:i/>
          <w:u w:val="single"/>
        </w:rPr>
      </w:pPr>
    </w:p>
    <w:p w14:paraId="2631EEC2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i/>
          <w:sz w:val="24"/>
          <w:u w:val="single"/>
        </w:rPr>
      </w:pPr>
      <w:r w:rsidRPr="00503316">
        <w:rPr>
          <w:i/>
          <w:sz w:val="24"/>
          <w:u w:val="single"/>
        </w:rPr>
        <w:t>Добычные работы</w:t>
      </w:r>
    </w:p>
    <w:p w14:paraId="64A13EA6" w14:textId="77777777" w:rsidR="00AA663D" w:rsidRPr="00503316" w:rsidRDefault="00AA663D" w:rsidP="00503316">
      <w:pPr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03316">
        <w:rPr>
          <w:rFonts w:ascii="Times New Roman" w:hAnsi="Times New Roman" w:cs="Times New Roman"/>
          <w:spacing w:val="-4"/>
          <w:sz w:val="24"/>
          <w:szCs w:val="24"/>
        </w:rPr>
        <w:t>Планом горных работ принята схема отработки угольных пластов горизонтальными слоями с развитием горных работ по направлению от почвы залежи к кровле.</w:t>
      </w:r>
    </w:p>
    <w:p w14:paraId="18ED4CA9" w14:textId="77777777" w:rsidR="00AA663D" w:rsidRPr="00503316" w:rsidRDefault="00AA663D" w:rsidP="00503316">
      <w:pPr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Освоение проектной мощности разреза планируется в 2035 в количестве 1 000,0 </w:t>
      </w:r>
      <w:proofErr w:type="gramStart"/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тыс.тонн</w:t>
      </w:r>
      <w:proofErr w:type="gramEnd"/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A2A784" w14:textId="77777777" w:rsidR="00AA663D" w:rsidRPr="00503316" w:rsidRDefault="00AA663D" w:rsidP="00503316">
      <w:pPr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03316">
        <w:rPr>
          <w:rFonts w:ascii="Times New Roman" w:hAnsi="Times New Roman" w:cs="Times New Roman"/>
          <w:spacing w:val="-4"/>
          <w:sz w:val="24"/>
          <w:szCs w:val="24"/>
        </w:rPr>
        <w:t xml:space="preserve">Добычные работы выполняются экскаваторами типа </w:t>
      </w:r>
      <w:r w:rsidRPr="00503316">
        <w:rPr>
          <w:rFonts w:ascii="Times New Roman" w:hAnsi="Times New Roman" w:cs="Times New Roman"/>
          <w:sz w:val="24"/>
          <w:szCs w:val="24"/>
        </w:rPr>
        <w:t>«обратная лопата» SDLG E6300F - E6500F (до 3.2 м3)</w:t>
      </w:r>
      <w:r w:rsidRPr="00503316">
        <w:rPr>
          <w:rFonts w:ascii="Times New Roman" w:hAnsi="Times New Roman" w:cs="Times New Roman"/>
          <w:spacing w:val="-4"/>
          <w:sz w:val="24"/>
          <w:szCs w:val="24"/>
        </w:rPr>
        <w:t xml:space="preserve">. Транспортировка угля осуществляется автосамосвалами </w:t>
      </w:r>
      <w:r w:rsidRPr="00503316">
        <w:rPr>
          <w:rFonts w:ascii="Times New Roman" w:hAnsi="Times New Roman" w:cs="Times New Roman"/>
          <w:sz w:val="24"/>
          <w:szCs w:val="24"/>
        </w:rPr>
        <w:t>типа LGMG MT86H (60 т)</w:t>
      </w:r>
      <w:r w:rsidRPr="00503316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5014EAB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pacing w:val="-4"/>
          <w:sz w:val="24"/>
        </w:rPr>
        <w:t xml:space="preserve">Отработка угля предусматривается одним и двумя </w:t>
      </w:r>
      <w:proofErr w:type="spellStart"/>
      <w:r w:rsidRPr="00503316">
        <w:rPr>
          <w:spacing w:val="-4"/>
          <w:sz w:val="24"/>
        </w:rPr>
        <w:t>подуступами</w:t>
      </w:r>
      <w:proofErr w:type="spellEnd"/>
      <w:r w:rsidRPr="00503316">
        <w:rPr>
          <w:spacing w:val="-4"/>
          <w:sz w:val="24"/>
        </w:rPr>
        <w:t xml:space="preserve"> высотой по 5,0 м. Ширина заходки равна 25,0 м. Угол откоса уступа принят равным 60°; угол призмы обрушения -55°.</w:t>
      </w:r>
    </w:p>
    <w:p w14:paraId="6E33B62F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i/>
          <w:sz w:val="24"/>
          <w:u w:val="single"/>
        </w:rPr>
        <w:t>Вскрышные работы</w:t>
      </w:r>
      <w:r w:rsidRPr="00503316">
        <w:rPr>
          <w:sz w:val="24"/>
        </w:rPr>
        <w:t>.</w:t>
      </w:r>
    </w:p>
    <w:p w14:paraId="50E10E8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Отработка пород вскрыши предусматривается одноковшовыми гидравлическими экскаваторами типа «обратная лопата» с объемом ковша 6,0м и гидравлических экскаваторов типа «обратная лопата» SDLG E6300F - E6500F (до 3.2 м3), внешней вскрыши без буровзрывных работ, внутренней вскрыши с предварительным частичным рыхлением взрывным способом.</w:t>
      </w:r>
    </w:p>
    <w:p w14:paraId="64F728C8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Вывоз пород вскрыши и некондиционных руд предусматривается автосамосвалами типа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типа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 xml:space="preserve"> LGMG MT86H (60 т) на внешние отвалы. Параметры системы разработки приняты в соответствии с «Типовыми технологическими схемами ведения горных работ на угольных разрезах» (НИИОГР, 1991 г.) и используемым горнотранспортным оборудованием. </w:t>
      </w:r>
    </w:p>
    <w:p w14:paraId="78E4756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Высота породных уступов принята из условия рабочих параметров экскаваторов и составляет 10,0 – 12,0 м, на наносах - до 12,5 м. </w:t>
      </w:r>
    </w:p>
    <w:p w14:paraId="6F787D6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Угол откоса рабочего уступа, исходя из физико-механических свойств пород, в рыхлых отложениях принят – 40-50°; в коренных породах – 60-75°; угол призмы обрушения по коренным породам - 45°; по наносам - 50°.</w:t>
      </w:r>
    </w:p>
    <w:p w14:paraId="7C6EDC69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Порода транспортируется на внешний породный отвал, расположенный на западном борту угольного разреза.</w:t>
      </w:r>
    </w:p>
    <w:p w14:paraId="440A90D2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i/>
          <w:sz w:val="24"/>
        </w:rPr>
      </w:pPr>
      <w:r w:rsidRPr="00503316">
        <w:rPr>
          <w:i/>
          <w:sz w:val="24"/>
          <w:u w:val="single"/>
        </w:rPr>
        <w:t>Буровзрывные работы</w:t>
      </w:r>
      <w:r w:rsidRPr="00503316">
        <w:rPr>
          <w:i/>
          <w:sz w:val="24"/>
        </w:rPr>
        <w:t>.</w:t>
      </w:r>
    </w:p>
    <w:p w14:paraId="646298AF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color w:val="000000" w:themeColor="text1"/>
          <w:spacing w:val="-8"/>
          <w:sz w:val="24"/>
        </w:rPr>
        <w:t xml:space="preserve">Выполнение буровзрывных работ предусматривается силами подрядной организации. </w:t>
      </w:r>
      <w:r w:rsidRPr="00503316">
        <w:rPr>
          <w:sz w:val="24"/>
        </w:rPr>
        <w:t xml:space="preserve">Для бурения скважин проектными решениями предусмотрено применение бурового станка </w:t>
      </w:r>
      <w:proofErr w:type="spellStart"/>
      <w:r w:rsidRPr="00503316">
        <w:rPr>
          <w:sz w:val="24"/>
        </w:rPr>
        <w:t>Kaishan</w:t>
      </w:r>
      <w:proofErr w:type="spellEnd"/>
      <w:r w:rsidRPr="00503316">
        <w:rPr>
          <w:sz w:val="24"/>
        </w:rPr>
        <w:t xml:space="preserve"> </w:t>
      </w:r>
      <w:proofErr w:type="spellStart"/>
      <w:r w:rsidRPr="00503316">
        <w:rPr>
          <w:sz w:val="24"/>
        </w:rPr>
        <w:t>kg</w:t>
      </w:r>
      <w:proofErr w:type="spellEnd"/>
      <w:r w:rsidRPr="00503316">
        <w:rPr>
          <w:sz w:val="24"/>
        </w:rPr>
        <w:t xml:space="preserve"> 520 (КНР).</w:t>
      </w:r>
    </w:p>
    <w:p w14:paraId="35886DF5" w14:textId="77777777" w:rsidR="00AA663D" w:rsidRPr="00503316" w:rsidRDefault="00AA663D" w:rsidP="00503316">
      <w:pPr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</w:pPr>
      <w:r w:rsidRPr="00503316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Как на вскрышных, так и на добычных работах принят короткозамедленный способ и диагональная схема взрывания. Конструкция заряда - сосредоточенная с воздушными промежутками. В качестве взрывчатого вещества рекомендуются «Фортис-экстра-70», и «</w:t>
      </w:r>
      <w:proofErr w:type="spellStart"/>
      <w:r w:rsidRPr="00503316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Анфо</w:t>
      </w:r>
      <w:proofErr w:type="spellEnd"/>
      <w:r w:rsidRPr="00503316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».</w:t>
      </w:r>
    </w:p>
    <w:p w14:paraId="4DEF178F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color w:val="000000" w:themeColor="text1"/>
          <w:sz w:val="24"/>
        </w:rPr>
      </w:pPr>
      <w:r w:rsidRPr="00503316">
        <w:rPr>
          <w:color w:val="000000" w:themeColor="text1"/>
          <w:sz w:val="24"/>
        </w:rPr>
        <w:lastRenderedPageBreak/>
        <w:t>Заряжание производится механизированным способом машинами типа МЗ-3Б, забойка скважин производится вручную.</w:t>
      </w:r>
    </w:p>
    <w:p w14:paraId="6867B4B2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  <w:u w:val="single"/>
        </w:rPr>
        <w:t>Отвальное хозяйство</w:t>
      </w:r>
      <w:r w:rsidRPr="00503316">
        <w:rPr>
          <w:sz w:val="24"/>
        </w:rPr>
        <w:t>.</w:t>
      </w:r>
    </w:p>
    <w:p w14:paraId="6D8BF225" w14:textId="77777777" w:rsidR="00AA663D" w:rsidRPr="00503316" w:rsidRDefault="00AA663D" w:rsidP="00503316">
      <w:pPr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316">
        <w:rPr>
          <w:rFonts w:ascii="Times New Roman" w:hAnsi="Times New Roman" w:cs="Times New Roman"/>
          <w:color w:val="000000" w:themeColor="text1"/>
          <w:sz w:val="24"/>
          <w:szCs w:val="24"/>
        </w:rPr>
        <w:t>Весь объём вскрышных пород Планом горных работ предусматривается размещать в один внешний отвал без разделения, за исключением ПСП.</w:t>
      </w:r>
    </w:p>
    <w:p w14:paraId="2CD55B58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color w:val="000000" w:themeColor="text1"/>
          <w:sz w:val="24"/>
        </w:rPr>
      </w:pPr>
      <w:r w:rsidRPr="00503316">
        <w:rPr>
          <w:color w:val="000000" w:themeColor="text1"/>
          <w:sz w:val="24"/>
        </w:rPr>
        <w:t xml:space="preserve">Внешний породный отвал организуется на площади </w:t>
      </w:r>
      <w:proofErr w:type="spellStart"/>
      <w:r w:rsidRPr="00503316">
        <w:rPr>
          <w:color w:val="000000" w:themeColor="text1"/>
          <w:sz w:val="24"/>
        </w:rPr>
        <w:t>прибортового</w:t>
      </w:r>
      <w:proofErr w:type="spellEnd"/>
      <w:r w:rsidRPr="00503316">
        <w:rPr>
          <w:color w:val="000000" w:themeColor="text1"/>
          <w:sz w:val="24"/>
        </w:rPr>
        <w:t xml:space="preserve"> пространства в западной части.</w:t>
      </w:r>
    </w:p>
    <w:p w14:paraId="101E1A03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color w:val="000000" w:themeColor="text1"/>
          <w:sz w:val="24"/>
        </w:rPr>
      </w:pPr>
      <w:r w:rsidRPr="00503316">
        <w:rPr>
          <w:color w:val="000000" w:themeColor="text1"/>
          <w:sz w:val="24"/>
        </w:rPr>
        <w:t xml:space="preserve">Проектом предусматривается отсыпка </w:t>
      </w:r>
      <w:proofErr w:type="gramStart"/>
      <w:r w:rsidRPr="00503316">
        <w:rPr>
          <w:color w:val="000000" w:themeColor="text1"/>
          <w:sz w:val="24"/>
        </w:rPr>
        <w:t>внешнего породного отвала</w:t>
      </w:r>
      <w:proofErr w:type="gramEnd"/>
      <w:r w:rsidRPr="00503316">
        <w:rPr>
          <w:color w:val="000000" w:themeColor="text1"/>
          <w:sz w:val="24"/>
        </w:rPr>
        <w:t xml:space="preserve"> который сложен песчаными, глиняными, скальными отложениями в четыре яруса высотой до 30,0 м.</w:t>
      </w:r>
    </w:p>
    <w:p w14:paraId="6DD88CCD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color w:val="000000" w:themeColor="text1"/>
          <w:sz w:val="24"/>
        </w:rPr>
        <w:t xml:space="preserve">Породы вскрыши из разреза вывозятся автомобильным транспортом на отвал автомобильным транспортом по системе стационарных и полустационарных </w:t>
      </w:r>
      <w:proofErr w:type="spellStart"/>
      <w:r w:rsidRPr="00503316">
        <w:rPr>
          <w:color w:val="000000" w:themeColor="text1"/>
          <w:sz w:val="24"/>
        </w:rPr>
        <w:t>автосъездов</w:t>
      </w:r>
      <w:proofErr w:type="spellEnd"/>
      <w:r w:rsidRPr="00503316">
        <w:rPr>
          <w:color w:val="000000" w:themeColor="text1"/>
          <w:sz w:val="24"/>
        </w:rPr>
        <w:t xml:space="preserve"> с уклоном до 80</w:t>
      </w:r>
      <w:r w:rsidRPr="00503316">
        <w:rPr>
          <w:color w:val="000000" w:themeColor="text1"/>
          <w:sz w:val="24"/>
          <w:vertAlign w:val="superscript"/>
        </w:rPr>
        <w:t>0</w:t>
      </w:r>
      <w:r w:rsidRPr="00503316">
        <w:rPr>
          <w:color w:val="000000" w:themeColor="text1"/>
          <w:sz w:val="24"/>
        </w:rPr>
        <w:t>/</w:t>
      </w:r>
      <w:r w:rsidRPr="00503316">
        <w:rPr>
          <w:color w:val="000000" w:themeColor="text1"/>
          <w:sz w:val="24"/>
          <w:vertAlign w:val="subscript"/>
        </w:rPr>
        <w:t xml:space="preserve">00 </w:t>
      </w:r>
      <w:r w:rsidRPr="00503316">
        <w:rPr>
          <w:color w:val="000000" w:themeColor="text1"/>
          <w:sz w:val="24"/>
        </w:rPr>
        <w:t xml:space="preserve">автосамосвалами типа LGMG MT86 грузоподъемностью 60 т. Формирование отвальных ярусов ведется бульдозерами типа </w:t>
      </w:r>
      <w:proofErr w:type="spellStart"/>
      <w:r w:rsidRPr="00503316">
        <w:rPr>
          <w:color w:val="000000" w:themeColor="text1"/>
          <w:sz w:val="24"/>
          <w:lang w:val="en-US"/>
        </w:rPr>
        <w:t>Zoomlion</w:t>
      </w:r>
      <w:proofErr w:type="spellEnd"/>
      <w:r w:rsidRPr="00503316">
        <w:rPr>
          <w:color w:val="000000" w:themeColor="text1"/>
          <w:sz w:val="24"/>
        </w:rPr>
        <w:t xml:space="preserve"> </w:t>
      </w:r>
      <w:r w:rsidRPr="00503316">
        <w:rPr>
          <w:color w:val="000000" w:themeColor="text1"/>
          <w:sz w:val="24"/>
          <w:lang w:val="en-US"/>
        </w:rPr>
        <w:t>ZD</w:t>
      </w:r>
      <w:r w:rsidRPr="00503316">
        <w:rPr>
          <w:color w:val="000000" w:themeColor="text1"/>
          <w:sz w:val="24"/>
        </w:rPr>
        <w:t>320.</w:t>
      </w:r>
    </w:p>
    <w:p w14:paraId="279E78A7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color w:val="000000" w:themeColor="text1"/>
          <w:sz w:val="24"/>
        </w:rPr>
      </w:pPr>
      <w:r w:rsidRPr="00503316">
        <w:rPr>
          <w:color w:val="000000" w:themeColor="text1"/>
          <w:sz w:val="24"/>
        </w:rPr>
        <w:t>Непосредственно вблизи разреза размещается также склад ПСП, снимаемого с площади разреза, отвала, складов и площадки под пруд-испаритель и промплощадки.</w:t>
      </w:r>
    </w:p>
    <w:p w14:paraId="058772F7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Режим работы по снятию и складированию плодородного слоя </w:t>
      </w:r>
      <w:proofErr w:type="gramStart"/>
      <w:r w:rsidRPr="00503316">
        <w:rPr>
          <w:sz w:val="24"/>
        </w:rPr>
        <w:t>почвы(</w:t>
      </w:r>
      <w:proofErr w:type="gramEnd"/>
      <w:r w:rsidRPr="00503316">
        <w:rPr>
          <w:sz w:val="24"/>
        </w:rPr>
        <w:t>ПСП) - 180 дней в 1 смену по 8 часов. Формирование складов ПСП ведется послойно, мощность слоя - 2,5 м, при общей высоте склада ПСП - до 20,0 м. Каждый слой склада ПСП отсыпается конусами с дальнейшим их формированием бульдозером.</w:t>
      </w:r>
    </w:p>
    <w:p w14:paraId="38522E78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  <w:u w:val="single"/>
        </w:rPr>
      </w:pPr>
      <w:r w:rsidRPr="00503316">
        <w:rPr>
          <w:sz w:val="24"/>
          <w:u w:val="single"/>
        </w:rPr>
        <w:t>Технологический комплекс разреза</w:t>
      </w:r>
    </w:p>
    <w:p w14:paraId="43CD8909" w14:textId="77777777" w:rsidR="00AA663D" w:rsidRPr="00503316" w:rsidRDefault="00AA663D" w:rsidP="00503316">
      <w:pPr>
        <w:pStyle w:val="5"/>
        <w:shd w:val="clear" w:color="auto" w:fill="auto"/>
        <w:suppressAutoHyphens/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Технологический комплекс разреза включает в себя открытый угольный склад штабельного типа на погрузочном пункте с автомобильными весами и модульной сортировочной установкой.</w:t>
      </w:r>
    </w:p>
    <w:p w14:paraId="3F0EF723" w14:textId="77777777" w:rsidR="00AA663D" w:rsidRPr="00503316" w:rsidRDefault="00AA663D" w:rsidP="00503316">
      <w:pPr>
        <w:pStyle w:val="5"/>
        <w:shd w:val="clear" w:color="auto" w:fill="auto"/>
        <w:tabs>
          <w:tab w:val="left" w:pos="879"/>
        </w:tabs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Открытый угольный склад штабельного типа служит для временного хранения добытого энергетического угля, переработанного энергетического угля, усреднения его качественных показателей, формирования штабелей готовой угольной продукции и отгрузки угля потребителям автотранспортом.</w:t>
      </w:r>
    </w:p>
    <w:p w14:paraId="3C2BBD87" w14:textId="77777777" w:rsidR="00AA663D" w:rsidRPr="00503316" w:rsidRDefault="00AA663D" w:rsidP="00503316">
      <w:pPr>
        <w:pStyle w:val="5"/>
        <w:shd w:val="clear" w:color="auto" w:fill="auto"/>
        <w:spacing w:after="0" w:line="264" w:lineRule="auto"/>
        <w:ind w:right="-49" w:firstLine="56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Режим работы мобильной сортировочной установки (МСУ) типа Warrior-1200 технологического комплекса принят: 2 смены, 8 часов в смену, 300 дней в году. </w:t>
      </w:r>
      <w:r w:rsidRPr="00503316">
        <w:rPr>
          <w:rFonts w:ascii="Times New Roman" w:hAnsi="Times New Roman" w:cs="Times New Roman"/>
          <w:spacing w:val="5"/>
          <w:sz w:val="24"/>
          <w:szCs w:val="24"/>
        </w:rPr>
        <w:t>Установка способна перерабатывать рядовой уголь производительностью до 250 т/ч, 2000 т/см.; 4000 т/</w:t>
      </w:r>
      <w:proofErr w:type="spellStart"/>
      <w:r w:rsidRPr="00503316">
        <w:rPr>
          <w:rFonts w:ascii="Times New Roman" w:hAnsi="Times New Roman" w:cs="Times New Roman"/>
          <w:spacing w:val="5"/>
          <w:sz w:val="24"/>
          <w:szCs w:val="24"/>
        </w:rPr>
        <w:t>сут</w:t>
      </w:r>
      <w:proofErr w:type="spellEnd"/>
      <w:r w:rsidRPr="00503316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14:paraId="7512A647" w14:textId="77777777" w:rsidR="00AA663D" w:rsidRPr="00503316" w:rsidRDefault="00AA663D" w:rsidP="00503316">
      <w:pPr>
        <w:pStyle w:val="5"/>
        <w:shd w:val="clear" w:color="auto" w:fill="auto"/>
        <w:tabs>
          <w:tab w:val="left" w:pos="879"/>
        </w:tabs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pacing w:val="5"/>
          <w:sz w:val="24"/>
          <w:szCs w:val="24"/>
        </w:rPr>
        <w:t xml:space="preserve">Переработке подлежит только рядовой энергетический уголь. </w:t>
      </w:r>
      <w:r w:rsidRPr="00503316">
        <w:rPr>
          <w:rFonts w:ascii="Times New Roman" w:hAnsi="Times New Roman" w:cs="Times New Roman"/>
          <w:sz w:val="24"/>
          <w:szCs w:val="24"/>
        </w:rPr>
        <w:t xml:space="preserve">Сортировочная установка оснащена грохотом и предназначена для сортировки рядового угля на три класса фракции: +0÷50; +50÷100 и +100 мм. </w:t>
      </w:r>
    </w:p>
    <w:p w14:paraId="6781E182" w14:textId="77777777" w:rsidR="00AA663D" w:rsidRPr="00503316" w:rsidRDefault="00AA663D" w:rsidP="00503316">
      <w:pPr>
        <w:pStyle w:val="5"/>
        <w:shd w:val="clear" w:color="auto" w:fill="auto"/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Режим работы объектов технологического комплекса принят в соответствии с режимом работы разреза по добыче угля: 365 дней, 2 смены, 12 часов, каждая. Формирование штабелей угля и их отгрузка предусматриваются в две смены.</w:t>
      </w:r>
    </w:p>
    <w:p w14:paraId="7CB531D5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Объемы отгрузки угля по периоду эксплуатации разреза равны объему годовой добычи, однако в осенне-зимний период объем может увеличен до 90÷120 тыс. т., в весенне-летний </w:t>
      </w:r>
      <w:proofErr w:type="gramStart"/>
      <w:r w:rsidRPr="00503316">
        <w:rPr>
          <w:sz w:val="24"/>
        </w:rPr>
        <w:t>период наоборот</w:t>
      </w:r>
      <w:proofErr w:type="gramEnd"/>
      <w:r w:rsidRPr="00503316">
        <w:rPr>
          <w:sz w:val="24"/>
        </w:rPr>
        <w:t>, может снизиться до 30÷40 тыс. т.</w:t>
      </w:r>
    </w:p>
    <w:p w14:paraId="4E45B103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  <w:u w:val="single"/>
        </w:rPr>
      </w:pPr>
      <w:r w:rsidRPr="00503316">
        <w:rPr>
          <w:sz w:val="24"/>
          <w:u w:val="single"/>
        </w:rPr>
        <w:t>Промплощадка разреза.</w:t>
      </w:r>
    </w:p>
    <w:p w14:paraId="62A4AB0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Организация вахтового поселка не требуется. Трудящиеся, занятые на работах в разрезе, проживают в ближайших населенных пунктах и доставляются к месту работы в специальных арендованных автобусах.</w:t>
      </w:r>
    </w:p>
    <w:p w14:paraId="624173A5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Вспомогательные объекты – нарядная, участок ОТК, комната отдыха и приема пищи, туалет будут располагаться в блок-контейнерах. </w:t>
      </w:r>
    </w:p>
    <w:p w14:paraId="03FE6DD1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rFonts w:eastAsia="Calibri"/>
          <w:sz w:val="24"/>
        </w:rPr>
      </w:pPr>
      <w:r w:rsidRPr="00503316">
        <w:rPr>
          <w:rFonts w:eastAsia="Calibri"/>
          <w:sz w:val="24"/>
        </w:rPr>
        <w:lastRenderedPageBreak/>
        <w:t>Проектом принято выполнение всех видов ремонта и технического обслуживания подрядными организациями г. Балхаш.</w:t>
      </w:r>
    </w:p>
    <w:p w14:paraId="52C79B7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eastAsia="Calibri" w:hAnsi="Times New Roman" w:cs="Times New Roman"/>
          <w:sz w:val="24"/>
          <w:szCs w:val="24"/>
        </w:rPr>
        <w:t>Для заправки спецтехники будут использоваться 2 автотопливозаправщика. Для хранения ГСМ приспособлены 3 емкости по 75 м</w:t>
      </w:r>
      <w:r w:rsidRPr="00503316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A48C2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Электропотребление осуществляется от централизованных сетей путем отпайки на территорию предприятия. Водоснабжение привозное.  </w:t>
      </w:r>
    </w:p>
    <w:p w14:paraId="19A0D50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примерная площадь земельного участка, необходимого для осуществления намечаемой деятельности:</w:t>
      </w:r>
    </w:p>
    <w:p w14:paraId="4A1893B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Площадь земельного участка составляет 220 га.</w:t>
      </w:r>
    </w:p>
    <w:p w14:paraId="2BE74266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краткое описание возможных рациональных вариантов осуществления намечаемой деятельности и обоснование выбранного варианта:</w:t>
      </w:r>
    </w:p>
    <w:p w14:paraId="61EB0D0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Обоснование выбранного варианта основывается на Плане горных работ, Рабочей программы и Лицензии на недропользование.</w:t>
      </w:r>
    </w:p>
    <w:p w14:paraId="115EEA49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color w:val="000000"/>
          <w:sz w:val="24"/>
          <w:szCs w:val="24"/>
        </w:rPr>
        <w:t>К вариантам осуществления намечаемой деятельности относятся:</w:t>
      </w:r>
    </w:p>
    <w:p w14:paraId="014E9CDC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z219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1) различные сроки осуществления деятельности или ее отдельных этапов (начала или осуществления строительства, эксплуатации объекта, </w:t>
      </w:r>
      <w:proofErr w:type="spellStart"/>
      <w:r w:rsidRPr="00503316">
        <w:rPr>
          <w:rFonts w:ascii="Times New Roman" w:hAnsi="Times New Roman" w:cs="Times New Roman"/>
          <w:color w:val="000000"/>
          <w:sz w:val="24"/>
          <w:szCs w:val="24"/>
        </w:rPr>
        <w:t>постутилизации</w:t>
      </w:r>
      <w:proofErr w:type="spellEnd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 объекта, выполнения отдельных работ)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сроки осуществления строительства и эксплуатации объекта определены ТЭО и Планом горных работ</w:t>
      </w:r>
      <w:r w:rsidRPr="0050331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E44916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z220"/>
      <w:bookmarkEnd w:id="4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2) различные виды работ, выполняемых для достижения одной и той же цели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выбранный вариант является наиболее выгодным с точки зрения экономии ресурсов</w:t>
      </w:r>
      <w:r w:rsidRPr="0050331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D4AE6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z221"/>
      <w:bookmarkEnd w:id="5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3) различная последовательность работ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последовательность работ определяется Планом горных работ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01348450" w14:textId="09D90E3A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z222"/>
      <w:bookmarkEnd w:id="6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4) различные технологии, машины, оборудование, материалы, применяемые для достижения одной и той же цели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указанные в </w:t>
      </w:r>
      <w:r w:rsidR="00D37B96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проектах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технологии, оборудование, материалы выбраны специально для добычи угля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56C4961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z223"/>
      <w:bookmarkEnd w:id="7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5) различные способы планировки объекта (включая расположение на земельном участке зданий и сооружений, мест выполнения конкретных работ)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 планировки объекта определен в соответствии с расположение угольных пластов и генеральным планом карьера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4EBE4CC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z224"/>
      <w:bookmarkEnd w:id="8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6) различные условия эксплуатации объекта (включая графики выполнения работ, влекущих негативные антропогенные воздействия на окружающую среду)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эксплуатация карьера соответствует Плану горных работ, Рабочей программе, а также технологическим особенностям добычи полезного ископаемого</w:t>
      </w:r>
      <w:r w:rsidRPr="00503316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7593D5C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z225"/>
      <w:bookmarkEnd w:id="9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7) различные условия доступа к объекту (включая виды транспорта, которые будут использоваться для доступа к объекту)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горные работы будут проводиться на территории карьера, дороги на территории предприятия существующие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437D976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z226"/>
      <w:bookmarkEnd w:id="10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8) различные варианты, относящиеся к иным характеристикам намечаемой деятельности, влияющие на характер и масштабы антропогенного воздействия на окружающую среду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рассматриваемый вариант намечаемой деятельности соответствует Плану горных работ и Рабочей программе, характер и масштаб воздействия ограничен территорией месторождения бурого угля и санитарно-защитной зоной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425146B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27"/>
      <w:bookmarkEnd w:id="11"/>
      <w:r w:rsidRPr="00503316">
        <w:rPr>
          <w:rFonts w:ascii="Times New Roman" w:hAnsi="Times New Roman" w:cs="Times New Roman"/>
          <w:color w:val="000000"/>
          <w:sz w:val="24"/>
          <w:szCs w:val="24"/>
        </w:rPr>
        <w:t>5. Под возможным рациональным вариантом осуществления намечаемой деятельности понимается вариант осуществления намечаемой деятельности, при котором соблюдаются в совокупности следующие условия:</w:t>
      </w:r>
    </w:p>
    <w:p w14:paraId="5D8D1ED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228"/>
      <w:bookmarkEnd w:id="12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1) отсутствие обстоятельств, влекущих невозможность применения данного варианта, в том числе вызванную характеристиками предполагаемого места осуществления намечаемой деятельности и другими условиями ее осуществления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указанные обстоятельства отсутствуют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09E5135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z229"/>
      <w:bookmarkEnd w:id="13"/>
      <w:r w:rsidRPr="0050331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соответствие всех этапов намечаемой деятельности, в случае ее осуществления по данному варианту, законодательству Республики Казахстан, в том числе в области охраны окружающей среды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все этапы намечаемой деятельности соответствуют законодательству Республики Казахстан, в том числе в области охраны окружающей среды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3424E14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5" w:name="z230"/>
      <w:bookmarkEnd w:id="14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3) соответствие целям и конкретным характеристикам объекта, необходимого для осуществления намечаемой деятельности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намечаемая деятельность соответствует целям и характеристикам объекта</w:t>
      </w:r>
      <w:r w:rsidRPr="00503316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05E247D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z231"/>
      <w:bookmarkEnd w:id="15"/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4) доступность ресурсов, необходимых для осуществления намечаемой деятельности по данному варианту –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 данному варианту намечаемой деятельности доступны возможные ресурсы – разрабатываемое месторождение бурого угля, подведенная к предприятию электроэнергия, водные ресурсы (скважина), трудовые ресурсы</w:t>
      </w:r>
      <w:r w:rsidRPr="00503316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bookmarkEnd w:id="16"/>
    <w:p w14:paraId="54EBCD8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316">
        <w:rPr>
          <w:rFonts w:ascii="Times New Roman" w:hAnsi="Times New Roman" w:cs="Times New Roman"/>
          <w:color w:val="000000"/>
          <w:sz w:val="24"/>
          <w:szCs w:val="24"/>
        </w:rPr>
        <w:t xml:space="preserve">5) отсутствие возможных нарушений прав и законных интересов населения затрагиваемой территории в результате осуществления намечаемой деятельности по данному варианту – </w:t>
      </w:r>
      <w:r w:rsidRPr="00503316">
        <w:rPr>
          <w:rFonts w:ascii="Times New Roman" w:hAnsi="Times New Roman" w:cs="Times New Roman"/>
          <w:b/>
          <w:i/>
          <w:sz w:val="24"/>
          <w:szCs w:val="24"/>
        </w:rPr>
        <w:t xml:space="preserve">Ближайший населенный пункт расположен в северо-западном направлении на расстоянии 8 км. ст. Сарыкум, </w:t>
      </w:r>
      <w:r w:rsidRPr="00503316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Законные интересы населения затрагиваемой территории не нарушаются.</w:t>
      </w:r>
    </w:p>
    <w:p w14:paraId="75390251" w14:textId="77777777" w:rsidR="00AA663D" w:rsidRPr="00503316" w:rsidRDefault="00AA663D" w:rsidP="00503316">
      <w:pPr>
        <w:spacing w:before="240" w:after="0" w:line="264" w:lineRule="auto"/>
        <w:ind w:right="-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объекты:</w:t>
      </w:r>
    </w:p>
    <w:p w14:paraId="271ADFC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>1) жизнь и (или) здоровье людей, условия их проживания и деятельности:</w:t>
      </w:r>
    </w:p>
    <w:p w14:paraId="4D089769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Трудовая занятость может явиться наиболее ожидаемым социальным воздействием работ. Это связано с тем, что безработица является одной из главных забот населения. Несмотря на то, что уровень безработицы в области не превышает уровня безработицы, сложившейся в республике в целом, имеется большая заинтересованность населения в получении работы на предприятии. Имеющийся уровень безработицы определяет ожидания населения в возможности любого рода трудоустройства, которое может представиться в процессе намечаемой деятельности. При работе предприятия обеспечивается непрерывная занятость персонала. </w:t>
      </w:r>
    </w:p>
    <w:p w14:paraId="5DA56C1D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В данном проекте проведен расчет максимальных приземных концентраций в атмосферном воздухе при проведении строительных работ, который не выявил какого-либо превышения санитарных норм качества атмосферного воздуха населенных мест на расстоянии 1000 м. Согласно выше сказанного можно сделать вывод, что намечаемая деятельность не окажет вредного воздействия на население прилегающего района.</w:t>
      </w:r>
    </w:p>
    <w:p w14:paraId="2E316DA0" w14:textId="77777777" w:rsidR="00AA663D" w:rsidRPr="00503316" w:rsidRDefault="00AA663D" w:rsidP="00503316">
      <w:pPr>
        <w:spacing w:before="120" w:after="0" w:line="264" w:lineRule="auto"/>
        <w:ind w:right="-51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 xml:space="preserve">2) 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экосистемы): </w:t>
      </w:r>
    </w:p>
    <w:p w14:paraId="39476BD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Деятельность по добыче бурого угля на месторождении Сарыкум будет проводиться в пределах земельного отвода. На участке месторождения отсутствуют древесно-кустарниковые зеленые насаждения, следовательно, в предполагаемом месте осуществления намечаемой деятельности зеленые насаждения вырубке или переносу не подлежат. Растительные ресурсы не используются при проведении рассматриваемой деятельности. Перед началом добычных и вскрышных работ снимается плодородный слой почвы и складируется в штабеля, который после окончания работ будет использован при рекультивации объекта.</w:t>
      </w:r>
    </w:p>
    <w:p w14:paraId="0400F359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3316">
        <w:rPr>
          <w:rFonts w:ascii="Times New Roman" w:hAnsi="Times New Roman" w:cs="Times New Roman"/>
          <w:iCs/>
          <w:sz w:val="24"/>
          <w:szCs w:val="24"/>
        </w:rPr>
        <w:t>Животный мир использованию и изъятию не подлежит. Предприятие будет работать локально в пределах отведенного земельного отвода, не затрагивая объекты животного мира, их частей, дериватов, полезных свойств и продуктов жизнедеятельности.</w:t>
      </w:r>
    </w:p>
    <w:p w14:paraId="33844173" w14:textId="77777777" w:rsidR="00AA663D" w:rsidRPr="00503316" w:rsidRDefault="00AA663D" w:rsidP="00503316">
      <w:pPr>
        <w:spacing w:before="120" w:after="0" w:line="264" w:lineRule="auto"/>
        <w:ind w:right="-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3) земли (в том числе изъятие земель), почвы (в том числе включая органический состав, эрозию, уплотнение, иные формы деградации):</w:t>
      </w:r>
      <w:r w:rsidRPr="00503316">
        <w:rPr>
          <w:rFonts w:ascii="Times New Roman" w:hAnsi="Times New Roman" w:cs="Times New Roman"/>
          <w:sz w:val="24"/>
          <w:szCs w:val="24"/>
        </w:rPr>
        <w:t xml:space="preserve"> Проектом предусматривается разработка месторождения в период эксплуатации 2026-2035 гг. Почвы на участках работ скальные глинисто-щебнистые, мощность плодородного слоя составляет 2-5 см. Земли используются как малопродуктивные пастбищные.</w:t>
      </w:r>
    </w:p>
    <w:p w14:paraId="73CFA16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Перед началом добычных и вскрышных работ снимается плодородный слой почвы и складируется в штабеля.</w:t>
      </w:r>
    </w:p>
    <w:p w14:paraId="7F6F06D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все нарушенные земли проходят стадию рекультивации по завершению горных работ. Проект рекультивации будет разработан отдельным документом с разделом ООС. </w:t>
      </w:r>
    </w:p>
    <w:p w14:paraId="61654E13" w14:textId="77777777" w:rsidR="00AA663D" w:rsidRPr="00503316" w:rsidRDefault="00AA663D" w:rsidP="00503316">
      <w:pPr>
        <w:spacing w:before="120" w:after="0" w:line="264" w:lineRule="auto"/>
        <w:ind w:right="-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 xml:space="preserve">4) воды (в том числе </w:t>
      </w:r>
      <w:proofErr w:type="spellStart"/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>гидроморфологические</w:t>
      </w:r>
      <w:proofErr w:type="spellEnd"/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изменения, количество и качество вод)</w:t>
      </w:r>
      <w:proofErr w:type="gramStart"/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503316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proofErr w:type="gramEnd"/>
      <w:r w:rsidRPr="00503316">
        <w:rPr>
          <w:rFonts w:ascii="Times New Roman" w:hAnsi="Times New Roman" w:cs="Times New Roman"/>
          <w:sz w:val="24"/>
          <w:szCs w:val="24"/>
        </w:rPr>
        <w:t xml:space="preserve"> ситуационной картой-схемой ближайший водный объект находиться юго-восточнее участка работ на расстоянии 29 км </w:t>
      </w:r>
      <w:proofErr w:type="gramStart"/>
      <w:r w:rsidRPr="00503316">
        <w:rPr>
          <w:rFonts w:ascii="Times New Roman" w:hAnsi="Times New Roman" w:cs="Times New Roman"/>
          <w:sz w:val="24"/>
          <w:szCs w:val="24"/>
        </w:rPr>
        <w:t>до водоохраной</w:t>
      </w:r>
      <w:proofErr w:type="gramEnd"/>
      <w:r w:rsidRPr="00503316">
        <w:rPr>
          <w:rFonts w:ascii="Times New Roman" w:hAnsi="Times New Roman" w:cs="Times New Roman"/>
          <w:sz w:val="24"/>
          <w:szCs w:val="24"/>
        </w:rPr>
        <w:t xml:space="preserve"> зоны озера Балхаш. На территории месторождения отсутствуют какие-либо поверхностные водные объекты.</w:t>
      </w:r>
    </w:p>
    <w:p w14:paraId="06711A21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Действующие месторождения подземных вод питьевого качества на территории участка работ отсутствуют. </w:t>
      </w:r>
    </w:p>
    <w:p w14:paraId="3C0414B1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Водопроводные сети питьевой воды в районе объекта отсутствуют. На хозяйственно-бытовые и питьевые нужды рабочей бригады предприятием будет использоваться привозная вода, </w:t>
      </w:r>
      <w:r w:rsidRPr="00503316">
        <w:rPr>
          <w:spacing w:val="4"/>
          <w:sz w:val="24"/>
        </w:rPr>
        <w:t xml:space="preserve">а также </w:t>
      </w:r>
      <w:proofErr w:type="spellStart"/>
      <w:r w:rsidRPr="00503316">
        <w:rPr>
          <w:spacing w:val="4"/>
          <w:sz w:val="24"/>
        </w:rPr>
        <w:t>бутылированная</w:t>
      </w:r>
      <w:proofErr w:type="spellEnd"/>
      <w:r w:rsidRPr="00503316">
        <w:rPr>
          <w:spacing w:val="4"/>
          <w:sz w:val="24"/>
        </w:rPr>
        <w:t xml:space="preserve"> вода,</w:t>
      </w:r>
      <w:r w:rsidRPr="00503316">
        <w:rPr>
          <w:sz w:val="24"/>
        </w:rPr>
        <w:t xml:space="preserve"> привезенные по договору</w:t>
      </w:r>
      <w:r w:rsidRPr="00503316">
        <w:rPr>
          <w:spacing w:val="4"/>
          <w:sz w:val="24"/>
        </w:rPr>
        <w:t xml:space="preserve">. </w:t>
      </w:r>
      <w:r w:rsidRPr="00503316">
        <w:rPr>
          <w:sz w:val="24"/>
        </w:rPr>
        <w:t xml:space="preserve">На территориях участков питьевая вода хранится в оцинкованной емкости и бутылях. </w:t>
      </w:r>
    </w:p>
    <w:p w14:paraId="039AA6B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Общее количество одновременно работающих максимально составляет 57 человек. Потребление питьевой воды на хозяйственно-бытовые нужды участка работ составит – 1,425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>, 520,1255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/год (из расчета нормы 25 литров в сутки на человека).</w:t>
      </w:r>
    </w:p>
    <w:p w14:paraId="5EF9865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Карьерные сточные воды по самотечному коллектору сбрасываются в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спецгидросооружение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 xml:space="preserve"> пруд-испаритель по мере транспортировки с помощью гусака используются на технологические нужды предприятия: орошение карьерных автодорог,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гидрозабойка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 xml:space="preserve"> скважин при буровзрывных работах. Максимальный сток карьерных вод приходится на 2035 год в объеме – 2344 тыс.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/год. Сброс загрязняющих веществ составит – 2520 тонн/год.</w:t>
      </w:r>
    </w:p>
    <w:p w14:paraId="25A4116D" w14:textId="77777777" w:rsidR="00AA663D" w:rsidRPr="00503316" w:rsidRDefault="00AA663D" w:rsidP="00503316">
      <w:pPr>
        <w:spacing w:after="0" w:line="264" w:lineRule="auto"/>
        <w:ind w:right="-51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 xml:space="preserve">5) атмосферный воздух (в том числе риски нарушения экологических нормативов его качества, целевых показателей качества, а при их отсутствии – ориентировочно безопасных уровней воздействия на него): </w:t>
      </w:r>
    </w:p>
    <w:p w14:paraId="223D3733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Всего ожидаются выбросы вредных веществ от 10 неорганизованных источников выбросов и 3 организованных. Выбросы рассчитаны для всех загрязняющих веществ. Максимальные приземные концентрации на границе нормативной санитарно-защитной зоны (1000 м от крайних источников выбросов) не будут превышать 1 ПДК по всем ингредиентам.</w:t>
      </w:r>
    </w:p>
    <w:p w14:paraId="217B66A3" w14:textId="77777777" w:rsidR="00AA663D" w:rsidRPr="00503316" w:rsidRDefault="00AA663D" w:rsidP="00503316">
      <w:pPr>
        <w:pStyle w:val="Default"/>
        <w:spacing w:line="264" w:lineRule="auto"/>
        <w:ind w:right="-49" w:firstLine="567"/>
        <w:jc w:val="both"/>
        <w:rPr>
          <w:color w:val="auto"/>
        </w:rPr>
      </w:pPr>
      <w:r w:rsidRPr="00503316">
        <w:rPr>
          <w:color w:val="auto"/>
        </w:rPr>
        <w:t>При работе предприятия в атмосферу будут выбрасываться загрязняющие вещества объемом от 590,0563 т/г на 2026 г. до 925,5225 т/год на 2035 г. Основная масса загрязняющих веществ выбрасываются в атмосферу при добычных и вскрышных работах, а также при дроблении и сортировке угля. По результатам расчета рассеивания ЗВ на границе СЗЗ отсутствуют превышения концентрации загрязняющих веществ. Риски нарушения экологических нормативов качества атмосферного воздуха, целевых показателей его качества отсутствуют.</w:t>
      </w:r>
    </w:p>
    <w:p w14:paraId="161D3D28" w14:textId="77777777" w:rsidR="00AA663D" w:rsidRPr="00503316" w:rsidRDefault="00AA663D" w:rsidP="00503316">
      <w:pPr>
        <w:spacing w:after="0" w:line="264" w:lineRule="auto"/>
        <w:ind w:right="-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>6) сопротивляемость к изменению климата экологических и социально-экономических систем:</w:t>
      </w:r>
      <w:r w:rsidRPr="00503316">
        <w:rPr>
          <w:rFonts w:ascii="Times New Roman" w:hAnsi="Times New Roman" w:cs="Times New Roman"/>
          <w:sz w:val="24"/>
          <w:szCs w:val="24"/>
        </w:rPr>
        <w:t xml:space="preserve"> Изменение климата, района расположения объектов намечаемой деятельности, деградации его экологических и социально-экономических систем не прогнозируется.</w:t>
      </w:r>
    </w:p>
    <w:p w14:paraId="7ABFD50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7) материальные активы, объекты историко-культурного наследия (в том числе архитектурные и археологические), ландшафты:</w:t>
      </w:r>
      <w:r w:rsidRPr="00503316">
        <w:rPr>
          <w:rFonts w:ascii="Times New Roman" w:hAnsi="Times New Roman" w:cs="Times New Roman"/>
          <w:sz w:val="24"/>
          <w:szCs w:val="24"/>
        </w:rPr>
        <w:t xml:space="preserve"> На территории проведения работ отсутствуют жилые постройки архитектурные памятники, объекты историко-культурного наследия.</w:t>
      </w:r>
    </w:p>
    <w:p w14:paraId="2C5BB7B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  <w:u w:val="single"/>
        </w:rPr>
        <w:t xml:space="preserve">8) взаимодействие указанных объектов: </w:t>
      </w:r>
      <w:r w:rsidRPr="00503316">
        <w:rPr>
          <w:rFonts w:ascii="Times New Roman" w:hAnsi="Times New Roman" w:cs="Times New Roman"/>
          <w:sz w:val="24"/>
          <w:szCs w:val="24"/>
        </w:rPr>
        <w:t>не предусматривается.</w:t>
      </w:r>
    </w:p>
    <w:p w14:paraId="55A4E457" w14:textId="77777777" w:rsidR="00AA663D" w:rsidRPr="00503316" w:rsidRDefault="00AA663D" w:rsidP="00503316">
      <w:pPr>
        <w:spacing w:before="240" w:after="0" w:line="264" w:lineRule="auto"/>
        <w:ind w:right="-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деятельности:</w:t>
      </w:r>
    </w:p>
    <w:p w14:paraId="31D8C229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Атмосфера.</w:t>
      </w:r>
      <w:r w:rsidRPr="00503316">
        <w:rPr>
          <w:rFonts w:ascii="Times New Roman" w:hAnsi="Times New Roman" w:cs="Times New Roman"/>
          <w:sz w:val="24"/>
          <w:szCs w:val="24"/>
        </w:rPr>
        <w:t xml:space="preserve"> Воздействие на атмосферный воздух предусматривается в период работы предприятия: в атмосферу будут выбрасываться загрязняющие вещества объемом от 590,0563 т/г на 2026 г. до 925,5225 т/год на 2035 г.</w:t>
      </w:r>
    </w:p>
    <w:p w14:paraId="639D6F9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Водные ресурсы.</w:t>
      </w:r>
      <w:r w:rsidRPr="005033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EE5C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 xml:space="preserve">Водопотребление. </w:t>
      </w:r>
      <w:r w:rsidRPr="00503316">
        <w:rPr>
          <w:rFonts w:ascii="Times New Roman" w:hAnsi="Times New Roman" w:cs="Times New Roman"/>
          <w:sz w:val="24"/>
          <w:szCs w:val="24"/>
        </w:rPr>
        <w:t>Норматив водопотребления на хозяйственно-питьевые нужды в период горных работ составит – 1,425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>, 520,1255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/год.</w:t>
      </w:r>
    </w:p>
    <w:p w14:paraId="0150ADD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Карьерные воды сбрасываются в пруд-испаритель в объеме – 2344 тыс. м</w:t>
      </w:r>
      <w:r w:rsidRPr="005033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3316">
        <w:rPr>
          <w:rFonts w:ascii="Times New Roman" w:hAnsi="Times New Roman" w:cs="Times New Roman"/>
          <w:sz w:val="24"/>
          <w:szCs w:val="24"/>
        </w:rPr>
        <w:t>/год на максимальный 2035 год. Сброс загрязняющих веществ составит – 2520 тонн/год.</w:t>
      </w:r>
    </w:p>
    <w:p w14:paraId="0F293E8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Физические факторы воздействия.</w:t>
      </w:r>
      <w:r w:rsidRPr="00503316">
        <w:rPr>
          <w:rFonts w:ascii="Times New Roman" w:hAnsi="Times New Roman" w:cs="Times New Roman"/>
          <w:sz w:val="24"/>
          <w:szCs w:val="24"/>
        </w:rPr>
        <w:t xml:space="preserve"> Предельно допустимые уровни звукового, вибрационного, электромагнитного воздействия приведены в разделе 8.5. Уровни физического воздействия не превышают допустимых пределов.</w:t>
      </w:r>
    </w:p>
    <w:p w14:paraId="3C50E12B" w14:textId="77777777" w:rsidR="00AA663D" w:rsidRPr="00503316" w:rsidRDefault="00AA663D" w:rsidP="00503316">
      <w:pPr>
        <w:pStyle w:val="a0"/>
        <w:kinsoku w:val="0"/>
        <w:overflowPunct w:val="0"/>
        <w:spacing w:line="264" w:lineRule="auto"/>
        <w:ind w:right="-49" w:firstLine="567"/>
        <w:rPr>
          <w:sz w:val="24"/>
        </w:rPr>
      </w:pPr>
      <w:r w:rsidRPr="00503316">
        <w:rPr>
          <w:b/>
          <w:sz w:val="24"/>
        </w:rPr>
        <w:t>Отходы производства и потребления.</w:t>
      </w:r>
      <w:r w:rsidRPr="00503316">
        <w:rPr>
          <w:sz w:val="24"/>
        </w:rPr>
        <w:t xml:space="preserve"> В процессе горных работ и обслуживания горной и транспортной техники будут образовываться 6 видов отходов, из них:</w:t>
      </w:r>
    </w:p>
    <w:p w14:paraId="05DAF3F9" w14:textId="77777777" w:rsidR="00AA663D" w:rsidRPr="00503316" w:rsidRDefault="00AA663D" w:rsidP="00503316">
      <w:pPr>
        <w:kinsoku w:val="0"/>
        <w:overflowPunct w:val="0"/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– 1 вид опасных отходов – промасленная ветошь;</w:t>
      </w:r>
    </w:p>
    <w:p w14:paraId="3BCE3BD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– 5 видов неопасных отходов – твердые бытовые отходы (ТБО);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золошлак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>; огарки сварочных электродов; отходы медпункта; вскрышная порода.</w:t>
      </w:r>
    </w:p>
    <w:p w14:paraId="71DBBE7D" w14:textId="77777777" w:rsidR="00AA663D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Все образующиеся отходы на предприятии временно накапливаются (не более 6 месяцев) и утилизируются по договору со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спецорганизацией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>. Кроме вскрышных пород, которые предприятие по мере необходимости использует, а оставшиеся объемы захоранивает на отвале вскрышных пород.</w:t>
      </w:r>
    </w:p>
    <w:p w14:paraId="1627B181" w14:textId="77777777" w:rsidR="00503316" w:rsidRPr="00503316" w:rsidRDefault="00503316" w:rsidP="00503316">
      <w:pPr>
        <w:spacing w:after="0" w:line="264" w:lineRule="auto"/>
        <w:ind w:right="-49" w:firstLine="567"/>
        <w:jc w:val="both"/>
        <w:rPr>
          <w:sz w:val="10"/>
          <w:szCs w:val="10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1851"/>
        <w:gridCol w:w="1417"/>
        <w:gridCol w:w="1418"/>
        <w:gridCol w:w="1392"/>
        <w:gridCol w:w="1417"/>
        <w:gridCol w:w="1418"/>
      </w:tblGrid>
      <w:tr w:rsidR="00AA663D" w:rsidRPr="00503316" w14:paraId="3A302E6A" w14:textId="77777777" w:rsidTr="00BF3EF1">
        <w:trPr>
          <w:trHeight w:val="281"/>
          <w:jc w:val="center"/>
        </w:trPr>
        <w:tc>
          <w:tcPr>
            <w:tcW w:w="374" w:type="dxa"/>
            <w:vMerge w:val="restart"/>
            <w:vAlign w:val="center"/>
          </w:tcPr>
          <w:p w14:paraId="0BD17184" w14:textId="77777777" w:rsidR="00AA663D" w:rsidRPr="00503316" w:rsidRDefault="00AA663D" w:rsidP="00503316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51" w:type="dxa"/>
            <w:vMerge w:val="restart"/>
            <w:vAlign w:val="center"/>
          </w:tcPr>
          <w:p w14:paraId="7CFC8BA6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отходов</w:t>
            </w:r>
          </w:p>
        </w:tc>
        <w:tc>
          <w:tcPr>
            <w:tcW w:w="7062" w:type="dxa"/>
            <w:gridSpan w:val="5"/>
            <w:vAlign w:val="center"/>
          </w:tcPr>
          <w:p w14:paraId="7F865011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Нормативный объем образования, т/год</w:t>
            </w:r>
          </w:p>
          <w:p w14:paraId="5EBAAA9D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 эксплуатации</w:t>
            </w:r>
          </w:p>
        </w:tc>
      </w:tr>
      <w:tr w:rsidR="00AA663D" w:rsidRPr="00503316" w14:paraId="0B7FF02B" w14:textId="77777777" w:rsidTr="00BF3EF1">
        <w:trPr>
          <w:trHeight w:val="152"/>
          <w:jc w:val="center"/>
        </w:trPr>
        <w:tc>
          <w:tcPr>
            <w:tcW w:w="374" w:type="dxa"/>
            <w:vMerge/>
            <w:vAlign w:val="center"/>
          </w:tcPr>
          <w:p w14:paraId="65716921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14:paraId="4ADB01E9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E52933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418" w:type="dxa"/>
            <w:vAlign w:val="center"/>
          </w:tcPr>
          <w:p w14:paraId="486A7666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г.</w:t>
            </w:r>
          </w:p>
        </w:tc>
        <w:tc>
          <w:tcPr>
            <w:tcW w:w="1392" w:type="dxa"/>
            <w:vAlign w:val="center"/>
          </w:tcPr>
          <w:p w14:paraId="374CFDF9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г.</w:t>
            </w:r>
          </w:p>
        </w:tc>
        <w:tc>
          <w:tcPr>
            <w:tcW w:w="1417" w:type="dxa"/>
            <w:vAlign w:val="center"/>
          </w:tcPr>
          <w:p w14:paraId="1FB807E9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2029 г.</w:t>
            </w:r>
          </w:p>
        </w:tc>
        <w:tc>
          <w:tcPr>
            <w:tcW w:w="1418" w:type="dxa"/>
            <w:vAlign w:val="center"/>
          </w:tcPr>
          <w:p w14:paraId="72142FF0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2030 г.</w:t>
            </w:r>
          </w:p>
        </w:tc>
      </w:tr>
      <w:tr w:rsidR="00AA663D" w:rsidRPr="00503316" w14:paraId="67272D12" w14:textId="77777777" w:rsidTr="00BF3EF1">
        <w:trPr>
          <w:trHeight w:val="148"/>
          <w:jc w:val="center"/>
        </w:trPr>
        <w:tc>
          <w:tcPr>
            <w:tcW w:w="374" w:type="dxa"/>
            <w:vAlign w:val="center"/>
          </w:tcPr>
          <w:p w14:paraId="462D5D57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1" w:type="dxa"/>
            <w:vAlign w:val="center"/>
          </w:tcPr>
          <w:p w14:paraId="5562A387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Вскрышная порода</w:t>
            </w:r>
          </w:p>
        </w:tc>
        <w:tc>
          <w:tcPr>
            <w:tcW w:w="1417" w:type="dxa"/>
            <w:vAlign w:val="center"/>
          </w:tcPr>
          <w:p w14:paraId="4428527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3 456 440</w:t>
            </w:r>
          </w:p>
        </w:tc>
        <w:tc>
          <w:tcPr>
            <w:tcW w:w="1418" w:type="dxa"/>
            <w:vAlign w:val="center"/>
          </w:tcPr>
          <w:p w14:paraId="59F0E364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8 807 760</w:t>
            </w:r>
          </w:p>
        </w:tc>
        <w:tc>
          <w:tcPr>
            <w:tcW w:w="1392" w:type="dxa"/>
            <w:vAlign w:val="center"/>
          </w:tcPr>
          <w:p w14:paraId="095061B3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sz w:val="20"/>
                <w:szCs w:val="20"/>
              </w:rPr>
              <w:t>13 333 320</w:t>
            </w:r>
          </w:p>
        </w:tc>
        <w:tc>
          <w:tcPr>
            <w:tcW w:w="1417" w:type="dxa"/>
            <w:vAlign w:val="center"/>
          </w:tcPr>
          <w:p w14:paraId="6BC0D8DB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14 479 140</w:t>
            </w:r>
          </w:p>
        </w:tc>
        <w:tc>
          <w:tcPr>
            <w:tcW w:w="1418" w:type="dxa"/>
            <w:vAlign w:val="center"/>
          </w:tcPr>
          <w:p w14:paraId="604C38AD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14 479 140</w:t>
            </w:r>
          </w:p>
        </w:tc>
      </w:tr>
      <w:tr w:rsidR="00AA663D" w:rsidRPr="00503316" w14:paraId="13B7FA3E" w14:textId="77777777" w:rsidTr="00BF3EF1">
        <w:trPr>
          <w:trHeight w:val="148"/>
          <w:jc w:val="center"/>
        </w:trPr>
        <w:tc>
          <w:tcPr>
            <w:tcW w:w="374" w:type="dxa"/>
            <w:vAlign w:val="center"/>
          </w:tcPr>
          <w:p w14:paraId="64F8FEC7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1" w:type="dxa"/>
            <w:vAlign w:val="center"/>
          </w:tcPr>
          <w:p w14:paraId="3F530012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ТБО</w:t>
            </w:r>
          </w:p>
        </w:tc>
        <w:tc>
          <w:tcPr>
            <w:tcW w:w="1417" w:type="dxa"/>
            <w:vAlign w:val="center"/>
          </w:tcPr>
          <w:p w14:paraId="6E367BF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18" w:type="dxa"/>
            <w:vAlign w:val="center"/>
          </w:tcPr>
          <w:p w14:paraId="3B3EB33C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392" w:type="dxa"/>
            <w:vAlign w:val="center"/>
          </w:tcPr>
          <w:p w14:paraId="6F6ECC0D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17" w:type="dxa"/>
            <w:vAlign w:val="center"/>
          </w:tcPr>
          <w:p w14:paraId="089704F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18" w:type="dxa"/>
            <w:vAlign w:val="center"/>
          </w:tcPr>
          <w:p w14:paraId="24A61D1F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</w:tr>
      <w:tr w:rsidR="00AA663D" w:rsidRPr="00503316" w14:paraId="35F6B89D" w14:textId="77777777" w:rsidTr="00BF3EF1">
        <w:trPr>
          <w:trHeight w:val="275"/>
          <w:jc w:val="center"/>
        </w:trPr>
        <w:tc>
          <w:tcPr>
            <w:tcW w:w="374" w:type="dxa"/>
            <w:vAlign w:val="center"/>
          </w:tcPr>
          <w:p w14:paraId="1407D70C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1" w:type="dxa"/>
            <w:vAlign w:val="center"/>
          </w:tcPr>
          <w:p w14:paraId="0BD19585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Промасленная ветошь</w:t>
            </w:r>
          </w:p>
        </w:tc>
        <w:tc>
          <w:tcPr>
            <w:tcW w:w="1417" w:type="dxa"/>
            <w:vAlign w:val="center"/>
          </w:tcPr>
          <w:p w14:paraId="0261BE9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18" w:type="dxa"/>
            <w:vAlign w:val="center"/>
          </w:tcPr>
          <w:p w14:paraId="7AD9BEA8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392" w:type="dxa"/>
            <w:vAlign w:val="center"/>
          </w:tcPr>
          <w:p w14:paraId="0E743364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17" w:type="dxa"/>
            <w:vAlign w:val="center"/>
          </w:tcPr>
          <w:p w14:paraId="1AE42D3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18" w:type="dxa"/>
            <w:vAlign w:val="center"/>
          </w:tcPr>
          <w:p w14:paraId="3EA75F10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</w:tr>
      <w:tr w:rsidR="00AA663D" w:rsidRPr="00503316" w14:paraId="36E6CE8B" w14:textId="77777777" w:rsidTr="00BF3EF1">
        <w:trPr>
          <w:trHeight w:val="148"/>
          <w:jc w:val="center"/>
        </w:trPr>
        <w:tc>
          <w:tcPr>
            <w:tcW w:w="374" w:type="dxa"/>
            <w:vAlign w:val="center"/>
          </w:tcPr>
          <w:p w14:paraId="551523AB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1" w:type="dxa"/>
            <w:vAlign w:val="center"/>
          </w:tcPr>
          <w:p w14:paraId="27063FA6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Огарки электродов</w:t>
            </w:r>
          </w:p>
        </w:tc>
        <w:tc>
          <w:tcPr>
            <w:tcW w:w="1417" w:type="dxa"/>
            <w:vAlign w:val="center"/>
          </w:tcPr>
          <w:p w14:paraId="35C485B1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18" w:type="dxa"/>
            <w:vAlign w:val="center"/>
          </w:tcPr>
          <w:p w14:paraId="4F49AE9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392" w:type="dxa"/>
            <w:vAlign w:val="center"/>
          </w:tcPr>
          <w:p w14:paraId="58BBC825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17" w:type="dxa"/>
            <w:vAlign w:val="center"/>
          </w:tcPr>
          <w:p w14:paraId="36FA25DC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18" w:type="dxa"/>
            <w:vAlign w:val="center"/>
          </w:tcPr>
          <w:p w14:paraId="358B2A69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</w:tr>
      <w:tr w:rsidR="00AA663D" w:rsidRPr="00503316" w14:paraId="5BA46F95" w14:textId="77777777" w:rsidTr="00BF3EF1">
        <w:trPr>
          <w:trHeight w:val="148"/>
          <w:jc w:val="center"/>
        </w:trPr>
        <w:tc>
          <w:tcPr>
            <w:tcW w:w="374" w:type="dxa"/>
            <w:vAlign w:val="center"/>
          </w:tcPr>
          <w:p w14:paraId="4F8E8083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1" w:type="dxa"/>
            <w:vAlign w:val="center"/>
          </w:tcPr>
          <w:p w14:paraId="28E50F83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Золошлак</w:t>
            </w:r>
            <w:proofErr w:type="spellEnd"/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690D9F8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18" w:type="dxa"/>
            <w:vAlign w:val="center"/>
          </w:tcPr>
          <w:p w14:paraId="2E0706F1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392" w:type="dxa"/>
            <w:vAlign w:val="center"/>
          </w:tcPr>
          <w:p w14:paraId="5EA20B2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17" w:type="dxa"/>
            <w:vAlign w:val="center"/>
          </w:tcPr>
          <w:p w14:paraId="09932C45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18" w:type="dxa"/>
            <w:vAlign w:val="center"/>
          </w:tcPr>
          <w:p w14:paraId="6E15F6A8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</w:tr>
      <w:tr w:rsidR="00AA663D" w:rsidRPr="00503316" w14:paraId="0A15139C" w14:textId="77777777" w:rsidTr="00BF3EF1">
        <w:trPr>
          <w:trHeight w:val="148"/>
          <w:jc w:val="center"/>
        </w:trPr>
        <w:tc>
          <w:tcPr>
            <w:tcW w:w="374" w:type="dxa"/>
            <w:vAlign w:val="center"/>
          </w:tcPr>
          <w:p w14:paraId="4E599E57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1" w:type="dxa"/>
            <w:vAlign w:val="center"/>
          </w:tcPr>
          <w:p w14:paraId="5F1C4911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медпункта</w:t>
            </w:r>
          </w:p>
        </w:tc>
        <w:tc>
          <w:tcPr>
            <w:tcW w:w="1417" w:type="dxa"/>
            <w:vAlign w:val="center"/>
          </w:tcPr>
          <w:p w14:paraId="5B2C0CBB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18" w:type="dxa"/>
            <w:vAlign w:val="center"/>
          </w:tcPr>
          <w:p w14:paraId="43F14FEE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392" w:type="dxa"/>
            <w:vAlign w:val="center"/>
          </w:tcPr>
          <w:p w14:paraId="1B9429D1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17" w:type="dxa"/>
            <w:vAlign w:val="center"/>
          </w:tcPr>
          <w:p w14:paraId="1E14EDED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18" w:type="dxa"/>
            <w:vAlign w:val="center"/>
          </w:tcPr>
          <w:p w14:paraId="23F85D03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</w:tr>
      <w:tr w:rsidR="00AA663D" w:rsidRPr="00503316" w14:paraId="30D5CB84" w14:textId="77777777" w:rsidTr="00BF3EF1">
        <w:trPr>
          <w:trHeight w:val="155"/>
          <w:jc w:val="center"/>
        </w:trPr>
        <w:tc>
          <w:tcPr>
            <w:tcW w:w="2225" w:type="dxa"/>
            <w:gridSpan w:val="2"/>
            <w:vAlign w:val="center"/>
          </w:tcPr>
          <w:p w14:paraId="659E0124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отходов</w:t>
            </w:r>
          </w:p>
        </w:tc>
        <w:tc>
          <w:tcPr>
            <w:tcW w:w="1417" w:type="dxa"/>
            <w:vAlign w:val="bottom"/>
          </w:tcPr>
          <w:p w14:paraId="799EA821" w14:textId="77777777" w:rsidR="00AA663D" w:rsidRPr="00503316" w:rsidRDefault="00AA663D" w:rsidP="005033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3 456 538,147</w:t>
            </w:r>
          </w:p>
        </w:tc>
        <w:tc>
          <w:tcPr>
            <w:tcW w:w="1418" w:type="dxa"/>
            <w:vAlign w:val="bottom"/>
          </w:tcPr>
          <w:p w14:paraId="56A4E2F6" w14:textId="77777777" w:rsidR="00AA663D" w:rsidRPr="00503316" w:rsidRDefault="00AA663D" w:rsidP="005033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8 807 858,147</w:t>
            </w:r>
          </w:p>
        </w:tc>
        <w:tc>
          <w:tcPr>
            <w:tcW w:w="1392" w:type="dxa"/>
            <w:vAlign w:val="bottom"/>
          </w:tcPr>
          <w:p w14:paraId="0EA3E3A4" w14:textId="77777777" w:rsidR="00AA663D" w:rsidRPr="00503316" w:rsidRDefault="00AA663D" w:rsidP="00503316">
            <w:pPr>
              <w:spacing w:after="0" w:line="240" w:lineRule="auto"/>
              <w:ind w:left="-134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13 333 418,147</w:t>
            </w:r>
          </w:p>
        </w:tc>
        <w:tc>
          <w:tcPr>
            <w:tcW w:w="1417" w:type="dxa"/>
            <w:vAlign w:val="bottom"/>
          </w:tcPr>
          <w:p w14:paraId="4060D01D" w14:textId="77777777" w:rsidR="00AA663D" w:rsidRPr="00503316" w:rsidRDefault="00AA663D" w:rsidP="00503316">
            <w:pPr>
              <w:spacing w:after="0" w:line="240" w:lineRule="auto"/>
              <w:ind w:left="-132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14 479 238,147</w:t>
            </w:r>
          </w:p>
        </w:tc>
        <w:tc>
          <w:tcPr>
            <w:tcW w:w="1418" w:type="dxa"/>
            <w:vAlign w:val="bottom"/>
          </w:tcPr>
          <w:p w14:paraId="5D1CB197" w14:textId="77777777" w:rsidR="00AA663D" w:rsidRPr="00503316" w:rsidRDefault="00AA663D" w:rsidP="00503316">
            <w:pPr>
              <w:spacing w:after="0" w:line="240" w:lineRule="auto"/>
              <w:ind w:left="-49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14 479 238,147</w:t>
            </w:r>
          </w:p>
        </w:tc>
      </w:tr>
    </w:tbl>
    <w:p w14:paraId="14ED62BE" w14:textId="77777777" w:rsidR="00AA663D" w:rsidRPr="004A5CE4" w:rsidRDefault="00AA663D" w:rsidP="00AA663D">
      <w:pPr>
        <w:ind w:right="-49" w:firstLine="567"/>
        <w:jc w:val="both"/>
        <w:rPr>
          <w:sz w:val="10"/>
          <w:szCs w:val="10"/>
        </w:rPr>
      </w:pP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1853"/>
        <w:gridCol w:w="1491"/>
        <w:gridCol w:w="1492"/>
        <w:gridCol w:w="1452"/>
        <w:gridCol w:w="1408"/>
        <w:gridCol w:w="1417"/>
      </w:tblGrid>
      <w:tr w:rsidR="00AA663D" w:rsidRPr="00503316" w14:paraId="4CAEEFA2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71F1DA0E" w14:textId="77777777" w:rsidR="00AA663D" w:rsidRPr="00503316" w:rsidRDefault="00AA663D" w:rsidP="00503316">
            <w:pPr>
              <w:spacing w:after="0" w:line="240" w:lineRule="auto"/>
              <w:ind w:left="-151" w:right="-5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53" w:type="dxa"/>
            <w:vAlign w:val="center"/>
          </w:tcPr>
          <w:p w14:paraId="66472C6A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отходов</w:t>
            </w:r>
          </w:p>
        </w:tc>
        <w:tc>
          <w:tcPr>
            <w:tcW w:w="1491" w:type="dxa"/>
            <w:vAlign w:val="center"/>
          </w:tcPr>
          <w:p w14:paraId="537FDCE9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2031 г.</w:t>
            </w:r>
          </w:p>
        </w:tc>
        <w:tc>
          <w:tcPr>
            <w:tcW w:w="1492" w:type="dxa"/>
            <w:vAlign w:val="center"/>
          </w:tcPr>
          <w:p w14:paraId="6B4AC0E4" w14:textId="77777777" w:rsidR="00AA663D" w:rsidRPr="00503316" w:rsidRDefault="00AA663D" w:rsidP="00503316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2032 г</w:t>
            </w:r>
            <w:r w:rsidRPr="0050331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1452" w:type="dxa"/>
            <w:vAlign w:val="center"/>
          </w:tcPr>
          <w:p w14:paraId="2DD6DA66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2033 г.</w:t>
            </w:r>
          </w:p>
        </w:tc>
        <w:tc>
          <w:tcPr>
            <w:tcW w:w="1408" w:type="dxa"/>
            <w:vAlign w:val="center"/>
          </w:tcPr>
          <w:p w14:paraId="2685405E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2034 г.</w:t>
            </w:r>
          </w:p>
        </w:tc>
        <w:tc>
          <w:tcPr>
            <w:tcW w:w="1417" w:type="dxa"/>
            <w:vAlign w:val="center"/>
          </w:tcPr>
          <w:p w14:paraId="61030A4C" w14:textId="77777777" w:rsidR="00AA663D" w:rsidRPr="00503316" w:rsidRDefault="00AA663D" w:rsidP="0050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2035 г.</w:t>
            </w:r>
          </w:p>
        </w:tc>
      </w:tr>
      <w:tr w:rsidR="00AA663D" w:rsidRPr="00503316" w14:paraId="27517AFD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6E2BF483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3" w:type="dxa"/>
            <w:vAlign w:val="center"/>
          </w:tcPr>
          <w:p w14:paraId="27503D8D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Вскрышная порода</w:t>
            </w:r>
          </w:p>
        </w:tc>
        <w:tc>
          <w:tcPr>
            <w:tcW w:w="1491" w:type="dxa"/>
            <w:vAlign w:val="center"/>
          </w:tcPr>
          <w:p w14:paraId="4C561CB8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22 360 000</w:t>
            </w:r>
          </w:p>
        </w:tc>
        <w:tc>
          <w:tcPr>
            <w:tcW w:w="1492" w:type="dxa"/>
            <w:vAlign w:val="center"/>
          </w:tcPr>
          <w:p w14:paraId="1E989829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14 479 140</w:t>
            </w:r>
          </w:p>
        </w:tc>
        <w:tc>
          <w:tcPr>
            <w:tcW w:w="1452" w:type="dxa"/>
          </w:tcPr>
          <w:p w14:paraId="5F122426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19 663 020</w:t>
            </w:r>
          </w:p>
        </w:tc>
        <w:tc>
          <w:tcPr>
            <w:tcW w:w="1408" w:type="dxa"/>
          </w:tcPr>
          <w:p w14:paraId="5601BC0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21 133 840</w:t>
            </w:r>
          </w:p>
        </w:tc>
        <w:tc>
          <w:tcPr>
            <w:tcW w:w="1417" w:type="dxa"/>
          </w:tcPr>
          <w:p w14:paraId="1B97BD9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23 951 460</w:t>
            </w:r>
          </w:p>
        </w:tc>
      </w:tr>
      <w:tr w:rsidR="00AA663D" w:rsidRPr="00503316" w14:paraId="04A0AFBB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7BE7FEAB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3" w:type="dxa"/>
            <w:vAlign w:val="center"/>
          </w:tcPr>
          <w:p w14:paraId="0E21E042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ТБО</w:t>
            </w:r>
          </w:p>
        </w:tc>
        <w:tc>
          <w:tcPr>
            <w:tcW w:w="1491" w:type="dxa"/>
            <w:vAlign w:val="center"/>
          </w:tcPr>
          <w:p w14:paraId="44A4FA73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92" w:type="dxa"/>
            <w:vAlign w:val="center"/>
          </w:tcPr>
          <w:p w14:paraId="0828E9A5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52" w:type="dxa"/>
            <w:vAlign w:val="center"/>
          </w:tcPr>
          <w:p w14:paraId="24980695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08" w:type="dxa"/>
            <w:vAlign w:val="center"/>
          </w:tcPr>
          <w:p w14:paraId="774138F9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  <w:tc>
          <w:tcPr>
            <w:tcW w:w="1417" w:type="dxa"/>
            <w:vAlign w:val="center"/>
          </w:tcPr>
          <w:p w14:paraId="1C33A72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4,275</w:t>
            </w:r>
          </w:p>
        </w:tc>
      </w:tr>
      <w:tr w:rsidR="00AA663D" w:rsidRPr="00503316" w14:paraId="49AFF37C" w14:textId="77777777" w:rsidTr="00BF3EF1">
        <w:trPr>
          <w:trHeight w:val="275"/>
          <w:jc w:val="center"/>
        </w:trPr>
        <w:tc>
          <w:tcPr>
            <w:tcW w:w="433" w:type="dxa"/>
            <w:vAlign w:val="center"/>
          </w:tcPr>
          <w:p w14:paraId="238258A0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3" w:type="dxa"/>
            <w:vAlign w:val="center"/>
          </w:tcPr>
          <w:p w14:paraId="5A8EB4BC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Промасленная ветошь</w:t>
            </w:r>
          </w:p>
        </w:tc>
        <w:tc>
          <w:tcPr>
            <w:tcW w:w="1491" w:type="dxa"/>
            <w:vAlign w:val="center"/>
          </w:tcPr>
          <w:p w14:paraId="2FB87C7F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92" w:type="dxa"/>
            <w:vAlign w:val="center"/>
          </w:tcPr>
          <w:p w14:paraId="538CD2B3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52" w:type="dxa"/>
            <w:vAlign w:val="center"/>
          </w:tcPr>
          <w:p w14:paraId="5C7C1091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08" w:type="dxa"/>
            <w:vAlign w:val="center"/>
          </w:tcPr>
          <w:p w14:paraId="1E9467F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1417" w:type="dxa"/>
            <w:vAlign w:val="center"/>
          </w:tcPr>
          <w:p w14:paraId="3E6527AD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0,635</w:t>
            </w:r>
          </w:p>
        </w:tc>
      </w:tr>
      <w:tr w:rsidR="00AA663D" w:rsidRPr="00503316" w14:paraId="20EFD1E9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7E1CBB81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3" w:type="dxa"/>
            <w:vAlign w:val="center"/>
          </w:tcPr>
          <w:p w14:paraId="2F522D70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Огарки электродов</w:t>
            </w:r>
          </w:p>
        </w:tc>
        <w:tc>
          <w:tcPr>
            <w:tcW w:w="1491" w:type="dxa"/>
            <w:vAlign w:val="center"/>
          </w:tcPr>
          <w:p w14:paraId="7EA5F8FA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92" w:type="dxa"/>
            <w:vAlign w:val="center"/>
          </w:tcPr>
          <w:p w14:paraId="404D801D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52" w:type="dxa"/>
            <w:vAlign w:val="center"/>
          </w:tcPr>
          <w:p w14:paraId="7838A496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08" w:type="dxa"/>
            <w:vAlign w:val="center"/>
          </w:tcPr>
          <w:p w14:paraId="300EF658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  <w:tc>
          <w:tcPr>
            <w:tcW w:w="1417" w:type="dxa"/>
            <w:vAlign w:val="center"/>
          </w:tcPr>
          <w:p w14:paraId="490D5E84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0,180</w:t>
            </w:r>
          </w:p>
        </w:tc>
      </w:tr>
      <w:tr w:rsidR="00AA663D" w:rsidRPr="00503316" w14:paraId="58FAE1CC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2B5496F6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3" w:type="dxa"/>
            <w:vAlign w:val="center"/>
          </w:tcPr>
          <w:p w14:paraId="6730217F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Золошлак</w:t>
            </w:r>
            <w:proofErr w:type="spellEnd"/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vAlign w:val="center"/>
          </w:tcPr>
          <w:p w14:paraId="3C8205F0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92" w:type="dxa"/>
            <w:vAlign w:val="center"/>
          </w:tcPr>
          <w:p w14:paraId="632AAB3E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52" w:type="dxa"/>
            <w:vAlign w:val="center"/>
          </w:tcPr>
          <w:p w14:paraId="76F8484E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08" w:type="dxa"/>
            <w:vAlign w:val="center"/>
          </w:tcPr>
          <w:p w14:paraId="2DFACFEC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417" w:type="dxa"/>
            <w:vAlign w:val="center"/>
          </w:tcPr>
          <w:p w14:paraId="0A0766AE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</w:tr>
      <w:tr w:rsidR="00AA663D" w:rsidRPr="00503316" w14:paraId="6FF01DBB" w14:textId="77777777" w:rsidTr="00BF3EF1">
        <w:trPr>
          <w:trHeight w:val="148"/>
          <w:jc w:val="center"/>
        </w:trPr>
        <w:tc>
          <w:tcPr>
            <w:tcW w:w="433" w:type="dxa"/>
            <w:vAlign w:val="center"/>
          </w:tcPr>
          <w:p w14:paraId="2BB53EFB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3" w:type="dxa"/>
            <w:vAlign w:val="center"/>
          </w:tcPr>
          <w:p w14:paraId="633DDDED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медпункта</w:t>
            </w:r>
          </w:p>
        </w:tc>
        <w:tc>
          <w:tcPr>
            <w:tcW w:w="1491" w:type="dxa"/>
            <w:vAlign w:val="center"/>
          </w:tcPr>
          <w:p w14:paraId="5777B685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92" w:type="dxa"/>
            <w:vAlign w:val="center"/>
          </w:tcPr>
          <w:p w14:paraId="26A1FBF6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52" w:type="dxa"/>
            <w:vAlign w:val="center"/>
          </w:tcPr>
          <w:p w14:paraId="2F4BD892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08" w:type="dxa"/>
            <w:vAlign w:val="center"/>
          </w:tcPr>
          <w:p w14:paraId="0BC02877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  <w:tc>
          <w:tcPr>
            <w:tcW w:w="1417" w:type="dxa"/>
            <w:vAlign w:val="center"/>
          </w:tcPr>
          <w:p w14:paraId="65DD2562" w14:textId="77777777" w:rsidR="00AA663D" w:rsidRPr="00503316" w:rsidRDefault="00AA663D" w:rsidP="00503316">
            <w:pPr>
              <w:spacing w:after="0" w:line="240" w:lineRule="auto"/>
              <w:ind w:right="-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0,057</w:t>
            </w:r>
          </w:p>
        </w:tc>
      </w:tr>
      <w:tr w:rsidR="00AA663D" w:rsidRPr="00503316" w14:paraId="4AA6015D" w14:textId="77777777" w:rsidTr="00BF3EF1">
        <w:trPr>
          <w:trHeight w:val="155"/>
          <w:jc w:val="center"/>
        </w:trPr>
        <w:tc>
          <w:tcPr>
            <w:tcW w:w="2286" w:type="dxa"/>
            <w:gridSpan w:val="2"/>
            <w:vAlign w:val="center"/>
          </w:tcPr>
          <w:p w14:paraId="69B175CF" w14:textId="77777777" w:rsidR="00AA663D" w:rsidRPr="00503316" w:rsidRDefault="00AA663D" w:rsidP="00503316">
            <w:pPr>
              <w:spacing w:after="0" w:line="240" w:lineRule="auto"/>
              <w:ind w:right="-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отходов</w:t>
            </w:r>
          </w:p>
        </w:tc>
        <w:tc>
          <w:tcPr>
            <w:tcW w:w="1491" w:type="dxa"/>
            <w:vAlign w:val="bottom"/>
          </w:tcPr>
          <w:p w14:paraId="58016F2C" w14:textId="77777777" w:rsidR="00AA663D" w:rsidRPr="00503316" w:rsidRDefault="00AA663D" w:rsidP="005033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22 360 098,147</w:t>
            </w:r>
          </w:p>
        </w:tc>
        <w:tc>
          <w:tcPr>
            <w:tcW w:w="1492" w:type="dxa"/>
            <w:vAlign w:val="bottom"/>
          </w:tcPr>
          <w:p w14:paraId="4A12D72E" w14:textId="77777777" w:rsidR="00AA663D" w:rsidRPr="00503316" w:rsidRDefault="00AA663D" w:rsidP="005033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14 479 238,147</w:t>
            </w:r>
          </w:p>
        </w:tc>
        <w:tc>
          <w:tcPr>
            <w:tcW w:w="1452" w:type="dxa"/>
            <w:vAlign w:val="bottom"/>
          </w:tcPr>
          <w:p w14:paraId="4FD5E4A4" w14:textId="77777777" w:rsidR="00AA663D" w:rsidRPr="00503316" w:rsidRDefault="00AA663D" w:rsidP="00503316">
            <w:pPr>
              <w:spacing w:after="0" w:line="240" w:lineRule="auto"/>
              <w:ind w:left="-194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19 663 118,147</w:t>
            </w:r>
          </w:p>
        </w:tc>
        <w:tc>
          <w:tcPr>
            <w:tcW w:w="1408" w:type="dxa"/>
            <w:vAlign w:val="bottom"/>
          </w:tcPr>
          <w:p w14:paraId="5BB134C1" w14:textId="77777777" w:rsidR="00AA663D" w:rsidRPr="00503316" w:rsidRDefault="00AA663D" w:rsidP="00503316">
            <w:pPr>
              <w:spacing w:after="0" w:line="240" w:lineRule="auto"/>
              <w:ind w:left="-194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21 133 938,147</w:t>
            </w:r>
          </w:p>
        </w:tc>
        <w:tc>
          <w:tcPr>
            <w:tcW w:w="1417" w:type="dxa"/>
            <w:vAlign w:val="bottom"/>
          </w:tcPr>
          <w:p w14:paraId="3841AD66" w14:textId="77777777" w:rsidR="00AA663D" w:rsidRPr="00503316" w:rsidRDefault="00AA663D" w:rsidP="00503316">
            <w:pPr>
              <w:spacing w:after="0" w:line="240" w:lineRule="auto"/>
              <w:ind w:left="-194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033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23 951 558,147</w:t>
            </w:r>
          </w:p>
        </w:tc>
      </w:tr>
    </w:tbl>
    <w:p w14:paraId="5D8F286C" w14:textId="77777777" w:rsidR="00AA663D" w:rsidRPr="004A5CE4" w:rsidRDefault="00AA663D" w:rsidP="00AA663D">
      <w:pPr>
        <w:ind w:right="-49"/>
        <w:jc w:val="both"/>
      </w:pPr>
    </w:p>
    <w:p w14:paraId="580E96B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lastRenderedPageBreak/>
        <w:t>7) информация:</w:t>
      </w:r>
    </w:p>
    <w:p w14:paraId="42B7EDE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 xml:space="preserve">–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осуществления: </w:t>
      </w:r>
    </w:p>
    <w:p w14:paraId="252D8198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Внутренними предпосылками-причинами возникновения и развития возможных аварийных ситуаций и инцидентов на предприятии могут быть:</w:t>
      </w:r>
    </w:p>
    <w:p w14:paraId="5DD1682D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 отказы и неполадки технологического оборудования;</w:t>
      </w:r>
    </w:p>
    <w:p w14:paraId="45967CE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 ошибочные действия персонала;</w:t>
      </w:r>
    </w:p>
    <w:p w14:paraId="3941D19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 внешние воздействия природного и техногенного характера.</w:t>
      </w:r>
    </w:p>
    <w:p w14:paraId="2D11EEB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316">
        <w:rPr>
          <w:rFonts w:ascii="Times New Roman" w:eastAsia="Calibri" w:hAnsi="Times New Roman" w:cs="Times New Roman"/>
          <w:sz w:val="24"/>
          <w:szCs w:val="24"/>
        </w:rPr>
        <w:t xml:space="preserve">В подавляющем большинстве случаев причины аварийных ситуаций обуславливаются человеческим фактором - недостаточной компетенцией, безответственностью должностных лиц, грубейшими нарушениями производственной и технологической дисциплины, невыполнением элементарных требований техники безопасности и проектных решений, терпимым отношением к нарушителям производственной дисциплины. </w:t>
      </w:r>
    </w:p>
    <w:p w14:paraId="23FE9A3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С учетом вероятности возможности возникновения аварийных ситуаций, одним из эффективных методов минимизации ущерба от потенциальных аварий является готовность к ним.</w:t>
      </w:r>
    </w:p>
    <w:p w14:paraId="796E5C35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Предприятием разработаны мероприятия, по недопущению аварий и План ликвидации аварий, в котором предусмотрены действия персонала в нештатных ситуациях.</w:t>
      </w:r>
    </w:p>
    <w:p w14:paraId="19D45A9D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о возможных существенных вредных воздействиях на окружающую среду, связанных с рисками возникновения аварий и опасных природных явлений;</w:t>
      </w:r>
    </w:p>
    <w:p w14:paraId="02A4E82B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"/>
      <w:r w:rsidRPr="00503316">
        <w:rPr>
          <w:rFonts w:ascii="Times New Roman" w:hAnsi="Times New Roman" w:cs="Times New Roman"/>
          <w:sz w:val="24"/>
          <w:szCs w:val="24"/>
        </w:rPr>
        <w:t xml:space="preserve">Под природными факторами понимается разрушительное явление, вызванное геофизическими причинами, которые не контролируются человеком. Иными словами, при возникновении природной чрезвычайной ситуации возникает способность саморазрушения окружающей среды. </w:t>
      </w:r>
    </w:p>
    <w:p w14:paraId="0B6B76C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К природным факторам относятся:</w:t>
      </w:r>
    </w:p>
    <w:p w14:paraId="34B7F913" w14:textId="77777777" w:rsidR="00AA663D" w:rsidRPr="00503316" w:rsidRDefault="00AA663D" w:rsidP="00503316">
      <w:pPr>
        <w:numPr>
          <w:ilvl w:val="0"/>
          <w:numId w:val="14"/>
        </w:numPr>
        <w:tabs>
          <w:tab w:val="clear" w:pos="72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землетрясения;</w:t>
      </w:r>
    </w:p>
    <w:p w14:paraId="10DB1D65" w14:textId="77777777" w:rsidR="00AA663D" w:rsidRPr="00503316" w:rsidRDefault="00AA663D" w:rsidP="00503316">
      <w:pPr>
        <w:numPr>
          <w:ilvl w:val="0"/>
          <w:numId w:val="14"/>
        </w:numPr>
        <w:tabs>
          <w:tab w:val="clear" w:pos="72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ураганные ветры;</w:t>
      </w:r>
    </w:p>
    <w:p w14:paraId="41036B91" w14:textId="77777777" w:rsidR="00AA663D" w:rsidRPr="00503316" w:rsidRDefault="00AA663D" w:rsidP="00503316">
      <w:pPr>
        <w:numPr>
          <w:ilvl w:val="0"/>
          <w:numId w:val="14"/>
        </w:numPr>
        <w:tabs>
          <w:tab w:val="clear" w:pos="72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повышенные атмосферные осадки.</w:t>
      </w:r>
    </w:p>
    <w:p w14:paraId="3B4280E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Под антропогенными факторами – понимается быстрые разрушительные изменения окружающей среды, обусловленные деятельностью человека или созданных им технических устройств и производств. Как правило, аварийные ситуации возникают вследствие нарушения регламента работы оборудования или норм его эксплуатации. </w:t>
      </w:r>
    </w:p>
    <w:p w14:paraId="0157798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К антропогенным факторам относятся факторы производственной среды и трудового процесса.</w:t>
      </w:r>
    </w:p>
    <w:p w14:paraId="13DD191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– о мерах по предотвращению аварий и опасных природных явлений, и ликвидации их последствий, включая оповещение населения;</w:t>
      </w:r>
    </w:p>
    <w:p w14:paraId="2417546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9"/>
      <w:bookmarkEnd w:id="17"/>
      <w:r w:rsidRPr="00503316">
        <w:rPr>
          <w:rFonts w:ascii="Times New Roman" w:hAnsi="Times New Roman" w:cs="Times New Roman"/>
          <w:sz w:val="24"/>
          <w:szCs w:val="24"/>
        </w:rPr>
        <w:t xml:space="preserve">Важнейшую роль в обеспечении охраны окружающей природной среды и безопасности рабочего персонала при участии в производственном процессе предприятия играет система правил, нормативов, инструкций и стандартов, соблюдение которых обязательно руководителями и всеми сотрудниками предприятия. </w:t>
      </w:r>
    </w:p>
    <w:p w14:paraId="2E0EC83B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Рекомендации по предотвращению аварийных ситуаций: </w:t>
      </w:r>
    </w:p>
    <w:p w14:paraId="08244D7A" w14:textId="77777777" w:rsidR="00AA663D" w:rsidRPr="00503316" w:rsidRDefault="00AA663D" w:rsidP="00503316">
      <w:pPr>
        <w:numPr>
          <w:ilvl w:val="0"/>
          <w:numId w:val="13"/>
        </w:numPr>
        <w:tabs>
          <w:tab w:val="clear" w:pos="216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строгое выполнение персоналом существующих на предприятии инструкций;</w:t>
      </w:r>
    </w:p>
    <w:p w14:paraId="73BCE878" w14:textId="77777777" w:rsidR="00AA663D" w:rsidRPr="00503316" w:rsidRDefault="00AA663D" w:rsidP="00503316">
      <w:pPr>
        <w:numPr>
          <w:ilvl w:val="0"/>
          <w:numId w:val="13"/>
        </w:numPr>
        <w:tabs>
          <w:tab w:val="clear" w:pos="216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обязательное соблюдение правил техники безопасности;</w:t>
      </w:r>
    </w:p>
    <w:p w14:paraId="312F2D0E" w14:textId="77777777" w:rsidR="00AA663D" w:rsidRPr="00503316" w:rsidRDefault="00AA663D" w:rsidP="00503316">
      <w:pPr>
        <w:numPr>
          <w:ilvl w:val="0"/>
          <w:numId w:val="13"/>
        </w:numPr>
        <w:tabs>
          <w:tab w:val="clear" w:pos="216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контроль за наличием спасательного, защитного оборудования и умением персонала им пользоваться;</w:t>
      </w:r>
    </w:p>
    <w:p w14:paraId="79E05211" w14:textId="77777777" w:rsidR="00AA663D" w:rsidRPr="00503316" w:rsidRDefault="00AA663D" w:rsidP="00503316">
      <w:pPr>
        <w:numPr>
          <w:ilvl w:val="0"/>
          <w:numId w:val="13"/>
        </w:numPr>
        <w:tabs>
          <w:tab w:val="clear" w:pos="216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своевременное устранение неполадок и сбоев в работе оборудования;</w:t>
      </w:r>
    </w:p>
    <w:p w14:paraId="2DB94A2B" w14:textId="77777777" w:rsidR="00AA663D" w:rsidRPr="00503316" w:rsidRDefault="00AA663D" w:rsidP="00503316">
      <w:pPr>
        <w:numPr>
          <w:ilvl w:val="0"/>
          <w:numId w:val="13"/>
        </w:numPr>
        <w:tabs>
          <w:tab w:val="clear" w:pos="2160"/>
          <w:tab w:val="left" w:pos="567"/>
        </w:tabs>
        <w:spacing w:after="0" w:line="264" w:lineRule="auto"/>
        <w:ind w:left="0" w:right="-4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lastRenderedPageBreak/>
        <w:t>все операции по ремонту существующего оборудования и обращению с отходами проводить под контролем ответственного лица.</w:t>
      </w:r>
    </w:p>
    <w:p w14:paraId="385F0DF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Своевременное выполнение мероприятий по предупреждению чрезвычайных ситуаций сводит к минимуму возникновение аварийных ситуаций и соответственно снижению экологического риска данной деятельности.</w:t>
      </w:r>
    </w:p>
    <w:p w14:paraId="31A88FDB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8) краткое описание:</w:t>
      </w:r>
      <w:bookmarkStart w:id="19" w:name="z120"/>
      <w:bookmarkEnd w:id="18"/>
    </w:p>
    <w:p w14:paraId="2AA3A27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мер по предотвращению, сокращению, смягчению выявленных существенных воздействий намечаемой деятельности на окружающую среду</w:t>
      </w:r>
      <w:r w:rsidRPr="0050331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03316">
        <w:rPr>
          <w:rFonts w:ascii="Times New Roman" w:hAnsi="Times New Roman" w:cs="Times New Roman"/>
          <w:sz w:val="24"/>
          <w:szCs w:val="24"/>
        </w:rPr>
        <w:t>Во всех случаях, когда выявлены значительные неблагоприятные воздействия, основная цель заключается в поиске мер по их снижению. Для тех случаев, когда подобрать подходящие мероприятия не представляется возможным, ниже излагаются варианты мероприятий, направленных на компенсации негативных последствий. Кроме того, в соответствующих случаях рекомендованы стимулирующие мероприятия. Стимулирующие мероприятия не следует рассматривать в качестве альтернативы смягчающим или компенсирующим мероприятиям – это мероприятия, выделенные в связи с их способностью обеспечить проекту определенные дополнительные преимущества после того, как реализованы все смягчающие и компенсирующие мероприятия.</w:t>
      </w:r>
    </w:p>
    <w:p w14:paraId="629BB9B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</w:rPr>
        <w:t xml:space="preserve"> По атмосферному воздуху:</w:t>
      </w:r>
    </w:p>
    <w:p w14:paraId="0B318F0F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- работа строго в границах отведенных участков;</w:t>
      </w:r>
    </w:p>
    <w:p w14:paraId="0749EE8C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 xml:space="preserve">- соблюдение нормативов допустимых выбросов. </w:t>
      </w:r>
    </w:p>
    <w:p w14:paraId="3A5117E6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i/>
          <w:sz w:val="24"/>
        </w:rPr>
      </w:pPr>
      <w:r w:rsidRPr="00503316">
        <w:rPr>
          <w:i/>
          <w:sz w:val="24"/>
        </w:rPr>
        <w:t xml:space="preserve">По поверхностным и подземным водам. </w:t>
      </w:r>
    </w:p>
    <w:p w14:paraId="540E9E62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>-организация системы сбора и хранения отходов производства;</w:t>
      </w:r>
    </w:p>
    <w:p w14:paraId="4FDEE88C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 -контроль герметичности всех трубопроводов во избежание утечек воды; </w:t>
      </w:r>
    </w:p>
    <w:p w14:paraId="358C1F9F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i/>
          <w:sz w:val="24"/>
        </w:rPr>
      </w:pPr>
      <w:r w:rsidRPr="00503316">
        <w:rPr>
          <w:i/>
          <w:sz w:val="24"/>
        </w:rPr>
        <w:t xml:space="preserve">По недрам и почвам. </w:t>
      </w:r>
    </w:p>
    <w:p w14:paraId="5BA5EBA7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- исключение загрязнения плодородного слоя почвы минеральным грунтом, строительным мусором, нефтепродуктами и другими веществами, ухудшающими плодородие почв; </w:t>
      </w:r>
    </w:p>
    <w:p w14:paraId="074E5E28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i/>
          <w:sz w:val="24"/>
        </w:rPr>
      </w:pPr>
      <w:r w:rsidRPr="00503316">
        <w:rPr>
          <w:i/>
          <w:sz w:val="24"/>
        </w:rPr>
        <w:t xml:space="preserve">По отходам производства. </w:t>
      </w:r>
    </w:p>
    <w:p w14:paraId="647EDB01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-своевременная организация системы сбора, транспортировки и утилизации отходов. </w:t>
      </w:r>
    </w:p>
    <w:p w14:paraId="71A49139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i/>
          <w:sz w:val="24"/>
        </w:rPr>
      </w:pPr>
      <w:r w:rsidRPr="00503316">
        <w:rPr>
          <w:i/>
          <w:sz w:val="24"/>
        </w:rPr>
        <w:t xml:space="preserve">По физическим воздействиям. </w:t>
      </w:r>
    </w:p>
    <w:p w14:paraId="51642C12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-содержание оборудования в надлежащем порядке, своевременное проведение технического осмотра и ремонта, правильное осуществление монтажа вращающихся и движущихся деталей частей оборудования и тщательная их балансировка; </w:t>
      </w:r>
    </w:p>
    <w:p w14:paraId="0AFB8BD4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 -строгое выполнение персоналом существующих на предприятии инструкций; </w:t>
      </w:r>
    </w:p>
    <w:p w14:paraId="6F2FFCF5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bCs/>
          <w:sz w:val="24"/>
        </w:rPr>
      </w:pPr>
      <w:r w:rsidRPr="00503316">
        <w:rPr>
          <w:sz w:val="24"/>
        </w:rPr>
        <w:t xml:space="preserve"> -обязательное соблюдение правил техники безопасности</w:t>
      </w:r>
    </w:p>
    <w:p w14:paraId="1F08450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3316">
        <w:rPr>
          <w:rFonts w:ascii="Times New Roman" w:hAnsi="Times New Roman" w:cs="Times New Roman"/>
          <w:i/>
          <w:sz w:val="24"/>
          <w:szCs w:val="24"/>
        </w:rPr>
        <w:t>По животному миру:</w:t>
      </w:r>
    </w:p>
    <w:p w14:paraId="1B4C16E6" w14:textId="77777777" w:rsidR="00AA663D" w:rsidRPr="00503316" w:rsidRDefault="00AA663D" w:rsidP="00503316">
      <w:pPr>
        <w:pStyle w:val="a0"/>
        <w:spacing w:line="264" w:lineRule="auto"/>
        <w:ind w:right="-49" w:firstLine="567"/>
        <w:rPr>
          <w:sz w:val="24"/>
        </w:rPr>
      </w:pPr>
      <w:r w:rsidRPr="00503316">
        <w:rPr>
          <w:sz w:val="24"/>
        </w:rPr>
        <w:t>Для соблюдения требований Экологического кодекса и в целях сохранения биоразнообразия района, проектом предусматриваются специальные мероприятия:</w:t>
      </w:r>
    </w:p>
    <w:p w14:paraId="51173FBC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-воспитание персонала и населения в духе гуманного и бережного отношения к животным и растениям;</w:t>
      </w:r>
    </w:p>
    <w:p w14:paraId="03F4E265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-контроль за предотвращением разрушения и повреждения гнезд, сбором яиц без разрешения уполномоченного органа;</w:t>
      </w:r>
    </w:p>
    <w:p w14:paraId="649E0106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-регулярное техническое обслуживание производственного оборудования и его эксплуатация в соответствии со стандартами изготовителей;</w:t>
      </w:r>
    </w:p>
    <w:p w14:paraId="1C9A3632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-ограничение перемещения транспорта по специально отведенным дорогам.</w:t>
      </w:r>
    </w:p>
    <w:p w14:paraId="631DEF08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-производство своевременный профилактический осмотр, ремонт и наладку режима работы всего оборудования и техники;</w:t>
      </w:r>
    </w:p>
    <w:p w14:paraId="0E680211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-запрет на слив ГСМ в окружающую природную среду;</w:t>
      </w:r>
    </w:p>
    <w:p w14:paraId="4723F8D4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lastRenderedPageBreak/>
        <w:t>- временное хранение отходов в герметичных емкостях - контейнерах;</w:t>
      </w:r>
    </w:p>
    <w:p w14:paraId="4A0DAEC3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-поддержание в чистоте территории буровой площадки и прилегающих площадей;</w:t>
      </w:r>
    </w:p>
    <w:p w14:paraId="09F64F34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-исключение несанкционированных проездов вне дорожной сети; </w:t>
      </w:r>
    </w:p>
    <w:p w14:paraId="494921A2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-сохранение растительных сообществ.</w:t>
      </w:r>
    </w:p>
    <w:p w14:paraId="159C0FFB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-запрещение на охоту и отстрел животных и птиц;</w:t>
      </w:r>
    </w:p>
    <w:p w14:paraId="1F1DD8A4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-предупреждение возникновения пожаров;</w:t>
      </w:r>
    </w:p>
    <w:p w14:paraId="570CD7DB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-регулярное техническое обслуживание производственного оборудования и его эксплуатация в соответствии со стандартами изготовителей;</w:t>
      </w:r>
    </w:p>
    <w:p w14:paraId="22C1C2F4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E60CEAC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-сохранение биологического разнообразия и целостности сообществ животного мира в состоянии естественной свободы;</w:t>
      </w:r>
    </w:p>
    <w:p w14:paraId="62E599FD" w14:textId="77777777" w:rsidR="00AA663D" w:rsidRPr="00503316" w:rsidRDefault="00AA663D" w:rsidP="00503316">
      <w:pPr>
        <w:spacing w:after="0" w:line="264" w:lineRule="auto"/>
        <w:ind w:right="-49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-сохранение среды обитания, условий размножения, путей миграции и мест концентрации объектов животного мира;</w:t>
      </w:r>
    </w:p>
    <w:p w14:paraId="1D516258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-проведение мероприятий по сохранению естественных условий функционирования природных ландшафтов и естественной среды обитания, принятие мер по предотвращению гибели находящихся под угрозой исчезновения или на грани вымирания видов (подвидов, популяций) растений и животных;</w:t>
      </w:r>
    </w:p>
    <w:p w14:paraId="56367ED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–охрана, сохранение и восстановление биологических ресурсов</w:t>
      </w:r>
    </w:p>
    <w:p w14:paraId="03ADEDA2" w14:textId="46936B70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Предприятию необходимо провести 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послепроектный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 xml:space="preserve"> анализ фактических воздействий на месторождении углей Сарыкум после реализации намечаемой деятельности в сравнении с информацией, приведенной в </w:t>
      </w:r>
      <w:r w:rsidR="00D37B96">
        <w:rPr>
          <w:rFonts w:ascii="Times New Roman" w:hAnsi="Times New Roman" w:cs="Times New Roman"/>
          <w:sz w:val="24"/>
          <w:szCs w:val="24"/>
        </w:rPr>
        <w:t>проектных материалах</w:t>
      </w:r>
      <w:r w:rsidRPr="00503316">
        <w:rPr>
          <w:rFonts w:ascii="Times New Roman" w:hAnsi="Times New Roman" w:cs="Times New Roman"/>
          <w:b/>
          <w:sz w:val="24"/>
          <w:szCs w:val="24"/>
        </w:rPr>
        <w:t>;</w:t>
      </w:r>
    </w:p>
    <w:p w14:paraId="4282114E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21"/>
      <w:bookmarkEnd w:id="19"/>
      <w:r w:rsidRPr="00503316">
        <w:rPr>
          <w:rFonts w:ascii="Times New Roman" w:hAnsi="Times New Roman" w:cs="Times New Roman"/>
          <w:b/>
          <w:sz w:val="24"/>
          <w:szCs w:val="24"/>
        </w:rPr>
        <w:t xml:space="preserve">мер по компенсации потерь биоразнообразия, если намечаемая деятельность может привести к таким потерям: </w:t>
      </w:r>
      <w:r w:rsidRPr="00503316">
        <w:rPr>
          <w:rFonts w:ascii="Times New Roman" w:hAnsi="Times New Roman" w:cs="Times New Roman"/>
          <w:sz w:val="24"/>
          <w:szCs w:val="24"/>
        </w:rPr>
        <w:t>Согласно пункту 2 статьи 240 Экологического кодекса Республики Казахстан: 2. При проведении стратегической экологической оценки и оценки воздействия на окружающую среду должны быть:</w:t>
      </w:r>
    </w:p>
    <w:p w14:paraId="12DEB2A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1) выявлены негативные воздействия разрабатываемого Документа или намечаемой деятельности на биоразнообразие (посредством проведения исследований);</w:t>
      </w:r>
    </w:p>
    <w:p w14:paraId="047992C8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2) предусмотрены мероприятия по предотвращению, минимизации негативных воздействий на биоразнообразие, смягчению последствий таких воздействий;</w:t>
      </w:r>
    </w:p>
    <w:p w14:paraId="4700C6C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3) в случае выявления риска утраты биоразнообразия – проведена оценка потери биоразнообразия и предусмотрены мероприятия по их компенсации.</w:t>
      </w:r>
    </w:p>
    <w:p w14:paraId="03D62B51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Согласно пункту 2 статьи 241 Экологического кодекса Республики Казахстан: 2. Компенсация потери биоразнообразия должна быть ориентирована на постоянный и долгосрочный прирост биоразнообразия и осуществляется в виде:</w:t>
      </w:r>
    </w:p>
    <w:p w14:paraId="4A487B4C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1) восстановления биоразнообразия, утраченного в результате осуществленной деятельности;</w:t>
      </w:r>
    </w:p>
    <w:p w14:paraId="59AEE747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2) внедрения такого же или другого, имеющего не менее важное значение для окружающей среды вида биоразнообразия на той же территории (в акватории) и (или) на другой территории (в акватории), где такое биоразнообразие имеет более важное значение.</w:t>
      </w:r>
    </w:p>
    <w:p w14:paraId="25EB7260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В рамках намечаемой деятельности предусмотрен ряд мер, уменьшающих негативное воздействие на животный и растительный мир прилегающих территорий, к ним относятся:</w:t>
      </w:r>
    </w:p>
    <w:p w14:paraId="548F8FB6" w14:textId="77777777" w:rsidR="00AA663D" w:rsidRPr="00503316" w:rsidRDefault="00AA663D" w:rsidP="00503316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right="-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осуществление работ в границах отвода земельного участка; </w:t>
      </w:r>
    </w:p>
    <w:p w14:paraId="228913DC" w14:textId="77777777" w:rsidR="00AA663D" w:rsidRPr="00503316" w:rsidRDefault="00AA663D" w:rsidP="00503316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right="-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движение транспорта и техники по дорогам. </w:t>
      </w:r>
    </w:p>
    <w:p w14:paraId="7FCB911F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 Общее воздействие намечаемой деятельности на животный мир оценивается как допустимое (низкая значимость воздействия). Мониторинг животного мира в процессе осуществления намечаемой деятельности не предусматривается</w:t>
      </w:r>
      <w:r w:rsidRPr="00503316">
        <w:rPr>
          <w:rFonts w:ascii="Times New Roman" w:hAnsi="Times New Roman" w:cs="Times New Roman"/>
          <w:b/>
          <w:sz w:val="24"/>
          <w:szCs w:val="24"/>
        </w:rPr>
        <w:t>;</w:t>
      </w:r>
    </w:p>
    <w:bookmarkEnd w:id="20"/>
    <w:p w14:paraId="3F8B46ED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возможных необратимых воздействий намечаемой деятельности на окружающую среду и причин, по которым инициатором принято решение о выполнении операций, </w:t>
      </w:r>
      <w:r w:rsidRPr="00503316">
        <w:rPr>
          <w:rFonts w:ascii="Times New Roman" w:hAnsi="Times New Roman" w:cs="Times New Roman"/>
          <w:sz w:val="24"/>
          <w:szCs w:val="24"/>
        </w:rPr>
        <w:lastRenderedPageBreak/>
        <w:t>влекущих таких воздействия</w:t>
      </w:r>
      <w:r w:rsidRPr="00503316">
        <w:rPr>
          <w:rFonts w:ascii="Times New Roman" w:hAnsi="Times New Roman" w:cs="Times New Roman"/>
          <w:b/>
          <w:sz w:val="24"/>
          <w:szCs w:val="24"/>
        </w:rPr>
        <w:t>: в рамках намечаемой деятельности необратимых воздействий на окружающую среду, которые могли бы привести к изменению свойств, качеств и функций средообразующих компонентов окружающей среды, не прогнозируется.</w:t>
      </w:r>
    </w:p>
    <w:p w14:paraId="5D2CC4E4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 xml:space="preserve">воздействия на недра: </w:t>
      </w:r>
      <w:r w:rsidRPr="00503316">
        <w:rPr>
          <w:rFonts w:ascii="Times New Roman" w:hAnsi="Times New Roman" w:cs="Times New Roman"/>
          <w:sz w:val="24"/>
          <w:szCs w:val="24"/>
        </w:rPr>
        <w:t xml:space="preserve">при горных работах происходит воздействие на недра – добыча бурого угля. Возможно воздействие на подземные воды, для его предотвращения должен проводится мониторинг подземных вод по организованной локальной сети наблюдательных скважин. </w:t>
      </w:r>
    </w:p>
    <w:p w14:paraId="198A5405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воздействие на растительный мир</w:t>
      </w:r>
      <w:r w:rsidRPr="00503316">
        <w:rPr>
          <w:rFonts w:ascii="Times New Roman" w:hAnsi="Times New Roman" w:cs="Times New Roman"/>
          <w:sz w:val="24"/>
          <w:szCs w:val="24"/>
        </w:rPr>
        <w:t xml:space="preserve"> – воздействия на растительный мир не планируется;</w:t>
      </w:r>
    </w:p>
    <w:p w14:paraId="6AC5FA96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23"/>
      <w:r w:rsidRPr="00503316">
        <w:rPr>
          <w:rFonts w:ascii="Times New Roman" w:hAnsi="Times New Roman" w:cs="Times New Roman"/>
          <w:sz w:val="24"/>
          <w:szCs w:val="24"/>
        </w:rPr>
        <w:t>способов и мер восстановления окружающей среды в случаях прекращения намечаемой деятельности: В соответствии с Земельным кодексом все нарушенные земли проходят стадию рекультивации по завершению горных работ. В случае прекращения намечаемой деятельности предприятием будет разработан Проект рекультивации, в котором будут предусмотрены действия по восстановлению природной среды. Средства для этих работ предусмотрены в Ликвидационном фонде.</w:t>
      </w:r>
    </w:p>
    <w:p w14:paraId="482B443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Проект рекультивации будет разработан отдельным документом с разделом ООС. </w:t>
      </w:r>
    </w:p>
    <w:p w14:paraId="3EE5491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z124"/>
      <w:bookmarkEnd w:id="21"/>
    </w:p>
    <w:p w14:paraId="7D3230BA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316">
        <w:rPr>
          <w:rFonts w:ascii="Times New Roman" w:hAnsi="Times New Roman" w:cs="Times New Roman"/>
          <w:b/>
          <w:sz w:val="24"/>
          <w:szCs w:val="24"/>
        </w:rPr>
        <w:t>9) список источников информации, полученной в ходе выполнения оценки воздействия на окружающую среду:</w:t>
      </w:r>
    </w:p>
    <w:bookmarkEnd w:id="22"/>
    <w:p w14:paraId="098437F3" w14:textId="77777777" w:rsidR="00AA663D" w:rsidRPr="00503316" w:rsidRDefault="00AA663D" w:rsidP="00503316">
      <w:pPr>
        <w:spacing w:after="0" w:line="264" w:lineRule="auto"/>
        <w:ind w:right="-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Источниками экологической информации при составлении настоящего отчета являются:</w:t>
      </w:r>
    </w:p>
    <w:p w14:paraId="306319CE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1.Информационный сайт РГП «</w:t>
      </w:r>
      <w:proofErr w:type="spellStart"/>
      <w:r w:rsidRPr="00503316">
        <w:rPr>
          <w:rFonts w:ascii="Times New Roman" w:hAnsi="Times New Roman" w:cs="Times New Roman"/>
          <w:sz w:val="24"/>
          <w:szCs w:val="24"/>
        </w:rPr>
        <w:t>Казгидромет</w:t>
      </w:r>
      <w:proofErr w:type="spellEnd"/>
      <w:r w:rsidRPr="00503316">
        <w:rPr>
          <w:rFonts w:ascii="Times New Roman" w:hAnsi="Times New Roman" w:cs="Times New Roman"/>
          <w:sz w:val="24"/>
          <w:szCs w:val="24"/>
        </w:rPr>
        <w:t>»;</w:t>
      </w:r>
    </w:p>
    <w:p w14:paraId="64E1B3F9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2. Экологический кодекс РК от 02.01.2021 г. № 400-VI;</w:t>
      </w:r>
    </w:p>
    <w:p w14:paraId="41C243E1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eastAsiaTheme="majorEastAsia" w:hAnsi="Times New Roman" w:cs="Times New Roman"/>
          <w:sz w:val="24"/>
          <w:szCs w:val="24"/>
        </w:rPr>
        <w:t>3. Водный кодекс Республики Казахстан от 9 июля 2003 года № 481-II </w:t>
      </w:r>
    </w:p>
    <w:p w14:paraId="54B2E235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eastAsiaTheme="majorEastAsia" w:hAnsi="Times New Roman" w:cs="Times New Roman"/>
          <w:sz w:val="24"/>
          <w:szCs w:val="24"/>
        </w:rPr>
      </w:pPr>
      <w:r w:rsidRPr="00503316">
        <w:rPr>
          <w:rFonts w:ascii="Times New Roman" w:eastAsiaTheme="majorEastAsia" w:hAnsi="Times New Roman" w:cs="Times New Roman"/>
          <w:sz w:val="24"/>
          <w:szCs w:val="24"/>
        </w:rPr>
        <w:t>4.</w:t>
      </w:r>
      <w:r w:rsidR="002D0B9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503316">
        <w:rPr>
          <w:rFonts w:ascii="Times New Roman" w:eastAsiaTheme="majorEastAsia" w:hAnsi="Times New Roman" w:cs="Times New Roman"/>
          <w:sz w:val="24"/>
          <w:szCs w:val="24"/>
        </w:rPr>
        <w:t>Земельный кодекс Республики Казахстан от 20 июня 2003 года № 442-II</w:t>
      </w:r>
    </w:p>
    <w:p w14:paraId="6D9CF26D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5. Закон РК от 09.07.2004 г. №593 «Об охране, воспроизводстве и использовании животного мира»;</w:t>
      </w:r>
    </w:p>
    <w:p w14:paraId="390D445F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 xml:space="preserve">6. Подзаконные акты, сопутствующие Экологическому кодексу Республики Казахстан от 2 января 2021 года; </w:t>
      </w:r>
    </w:p>
    <w:p w14:paraId="4D04C541" w14:textId="77777777" w:rsidR="00AA663D" w:rsidRPr="00503316" w:rsidRDefault="00AA663D" w:rsidP="002D0B9E">
      <w:pPr>
        <w:spacing w:before="120" w:after="0" w:line="264" w:lineRule="auto"/>
        <w:ind w:left="851" w:right="-49" w:hanging="284"/>
        <w:rPr>
          <w:rFonts w:ascii="Times New Roman" w:hAnsi="Times New Roman" w:cs="Times New Roman"/>
          <w:sz w:val="24"/>
          <w:szCs w:val="24"/>
        </w:rPr>
      </w:pPr>
      <w:r w:rsidRPr="00503316">
        <w:rPr>
          <w:rFonts w:ascii="Times New Roman" w:hAnsi="Times New Roman" w:cs="Times New Roman"/>
          <w:sz w:val="24"/>
          <w:szCs w:val="24"/>
        </w:rPr>
        <w:t>7. Методики расчета выбросов вредных веществ, утвержденные в Республике Казахстан.</w:t>
      </w:r>
    </w:p>
    <w:p w14:paraId="4B103929" w14:textId="77777777" w:rsidR="00AA663D" w:rsidRPr="00AA663D" w:rsidRDefault="00AA663D" w:rsidP="002D0B9E">
      <w:pPr>
        <w:pStyle w:val="a4"/>
        <w:spacing w:before="120" w:beforeAutospacing="0" w:after="0" w:afterAutospacing="0" w:line="264" w:lineRule="auto"/>
        <w:ind w:left="851" w:hanging="284"/>
        <w:rPr>
          <w:i/>
          <w:kern w:val="1"/>
          <w:lang w:eastAsia="hi-IN"/>
        </w:rPr>
      </w:pPr>
      <w:r w:rsidRPr="00503316">
        <w:t>8. План горных работ на отработку угля месторождения Сарыкум.</w:t>
      </w:r>
    </w:p>
    <w:sectPr w:rsidR="00AA663D" w:rsidRPr="00AA663D" w:rsidSect="00C1387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48E"/>
    <w:multiLevelType w:val="hybridMultilevel"/>
    <w:tmpl w:val="786C41B0"/>
    <w:lvl w:ilvl="0" w:tplc="CEC4D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7AA5"/>
    <w:multiLevelType w:val="hybridMultilevel"/>
    <w:tmpl w:val="B0DC58A4"/>
    <w:lvl w:ilvl="0" w:tplc="9BCEB49E">
      <w:start w:val="1"/>
      <w:numFmt w:val="decimal"/>
      <w:lvlText w:val="%1."/>
      <w:lvlJc w:val="left"/>
      <w:pPr>
        <w:ind w:left="1262" w:hanging="360"/>
      </w:pPr>
    </w:lvl>
    <w:lvl w:ilvl="1" w:tplc="04190019">
      <w:start w:val="1"/>
      <w:numFmt w:val="lowerLetter"/>
      <w:lvlText w:val="%2."/>
      <w:lvlJc w:val="left"/>
      <w:pPr>
        <w:ind w:left="1982" w:hanging="360"/>
      </w:pPr>
    </w:lvl>
    <w:lvl w:ilvl="2" w:tplc="0419001B">
      <w:start w:val="1"/>
      <w:numFmt w:val="lowerRoman"/>
      <w:lvlText w:val="%3."/>
      <w:lvlJc w:val="right"/>
      <w:pPr>
        <w:ind w:left="2702" w:hanging="180"/>
      </w:pPr>
    </w:lvl>
    <w:lvl w:ilvl="3" w:tplc="0419000F">
      <w:start w:val="1"/>
      <w:numFmt w:val="decimal"/>
      <w:lvlText w:val="%4."/>
      <w:lvlJc w:val="left"/>
      <w:pPr>
        <w:ind w:left="3422" w:hanging="360"/>
      </w:pPr>
    </w:lvl>
    <w:lvl w:ilvl="4" w:tplc="04190019">
      <w:start w:val="1"/>
      <w:numFmt w:val="lowerLetter"/>
      <w:lvlText w:val="%5."/>
      <w:lvlJc w:val="left"/>
      <w:pPr>
        <w:ind w:left="4142" w:hanging="360"/>
      </w:pPr>
    </w:lvl>
    <w:lvl w:ilvl="5" w:tplc="0419001B">
      <w:start w:val="1"/>
      <w:numFmt w:val="lowerRoman"/>
      <w:lvlText w:val="%6."/>
      <w:lvlJc w:val="right"/>
      <w:pPr>
        <w:ind w:left="4862" w:hanging="180"/>
      </w:pPr>
    </w:lvl>
    <w:lvl w:ilvl="6" w:tplc="0419000F">
      <w:start w:val="1"/>
      <w:numFmt w:val="decimal"/>
      <w:lvlText w:val="%7."/>
      <w:lvlJc w:val="left"/>
      <w:pPr>
        <w:ind w:left="5582" w:hanging="360"/>
      </w:pPr>
    </w:lvl>
    <w:lvl w:ilvl="7" w:tplc="04190019">
      <w:start w:val="1"/>
      <w:numFmt w:val="lowerLetter"/>
      <w:lvlText w:val="%8."/>
      <w:lvlJc w:val="left"/>
      <w:pPr>
        <w:ind w:left="6302" w:hanging="360"/>
      </w:pPr>
    </w:lvl>
    <w:lvl w:ilvl="8" w:tplc="0419001B">
      <w:start w:val="1"/>
      <w:numFmt w:val="lowerRoman"/>
      <w:lvlText w:val="%9."/>
      <w:lvlJc w:val="right"/>
      <w:pPr>
        <w:ind w:left="7022" w:hanging="180"/>
      </w:pPr>
    </w:lvl>
  </w:abstractNum>
  <w:abstractNum w:abstractNumId="2" w15:restartNumberingAfterBreak="0">
    <w:nsid w:val="089A3127"/>
    <w:multiLevelType w:val="hybridMultilevel"/>
    <w:tmpl w:val="C4325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52EF"/>
    <w:multiLevelType w:val="hybridMultilevel"/>
    <w:tmpl w:val="27A6894E"/>
    <w:lvl w:ilvl="0" w:tplc="FFFFFFFF">
      <w:start w:val="4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A7192"/>
    <w:multiLevelType w:val="hybridMultilevel"/>
    <w:tmpl w:val="917A67F4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2BB32734"/>
    <w:multiLevelType w:val="hybridMultilevel"/>
    <w:tmpl w:val="63FAFD9E"/>
    <w:lvl w:ilvl="0" w:tplc="868C1D7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C5D22"/>
    <w:multiLevelType w:val="hybridMultilevel"/>
    <w:tmpl w:val="33D28DB8"/>
    <w:lvl w:ilvl="0" w:tplc="0419000B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93B58EE"/>
    <w:multiLevelType w:val="hybridMultilevel"/>
    <w:tmpl w:val="F46C97E2"/>
    <w:lvl w:ilvl="0" w:tplc="0419000B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25D50"/>
    <w:multiLevelType w:val="hybridMultilevel"/>
    <w:tmpl w:val="9B2422CA"/>
    <w:lvl w:ilvl="0" w:tplc="D8FA87BE">
      <w:start w:val="7"/>
      <w:numFmt w:val="bullet"/>
      <w:lvlText w:val="-"/>
      <w:lvlJc w:val="left"/>
      <w:pPr>
        <w:tabs>
          <w:tab w:val="num" w:pos="1753"/>
        </w:tabs>
        <w:ind w:left="1753" w:hanging="1005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54364C"/>
    <w:multiLevelType w:val="hybridMultilevel"/>
    <w:tmpl w:val="957426F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49A86E9B"/>
    <w:multiLevelType w:val="hybridMultilevel"/>
    <w:tmpl w:val="FBDEF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21E04"/>
    <w:multiLevelType w:val="hybridMultilevel"/>
    <w:tmpl w:val="7E342F24"/>
    <w:lvl w:ilvl="0" w:tplc="B3488988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05C7450"/>
    <w:multiLevelType w:val="hybridMultilevel"/>
    <w:tmpl w:val="D9B0B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1217F"/>
    <w:multiLevelType w:val="hybridMultilevel"/>
    <w:tmpl w:val="9F7E4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4" w15:restartNumberingAfterBreak="0">
    <w:nsid w:val="73BF3E29"/>
    <w:multiLevelType w:val="hybridMultilevel"/>
    <w:tmpl w:val="F502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6580">
    <w:abstractNumId w:val="10"/>
  </w:num>
  <w:num w:numId="2" w16cid:durableId="494759816">
    <w:abstractNumId w:val="12"/>
  </w:num>
  <w:num w:numId="3" w16cid:durableId="1846048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9143850">
    <w:abstractNumId w:val="11"/>
  </w:num>
  <w:num w:numId="5" w16cid:durableId="23403315">
    <w:abstractNumId w:val="2"/>
  </w:num>
  <w:num w:numId="6" w16cid:durableId="1249923355">
    <w:abstractNumId w:val="6"/>
  </w:num>
  <w:num w:numId="7" w16cid:durableId="993265778">
    <w:abstractNumId w:val="4"/>
  </w:num>
  <w:num w:numId="8" w16cid:durableId="1693143388">
    <w:abstractNumId w:val="7"/>
  </w:num>
  <w:num w:numId="9" w16cid:durableId="27532904">
    <w:abstractNumId w:val="8"/>
  </w:num>
  <w:num w:numId="10" w16cid:durableId="155342590">
    <w:abstractNumId w:val="3"/>
  </w:num>
  <w:num w:numId="11" w16cid:durableId="745764370">
    <w:abstractNumId w:val="0"/>
  </w:num>
  <w:num w:numId="12" w16cid:durableId="1605378175">
    <w:abstractNumId w:val="14"/>
  </w:num>
  <w:num w:numId="13" w16cid:durableId="198325630">
    <w:abstractNumId w:val="9"/>
  </w:num>
  <w:num w:numId="14" w16cid:durableId="873082473">
    <w:abstractNumId w:val="13"/>
  </w:num>
  <w:num w:numId="15" w16cid:durableId="2059236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D41"/>
    <w:rsid w:val="000033C9"/>
    <w:rsid w:val="001152C3"/>
    <w:rsid w:val="00120066"/>
    <w:rsid w:val="00182DAA"/>
    <w:rsid w:val="001F7694"/>
    <w:rsid w:val="002253D4"/>
    <w:rsid w:val="00231726"/>
    <w:rsid w:val="0025344C"/>
    <w:rsid w:val="00263A9B"/>
    <w:rsid w:val="002D0B9E"/>
    <w:rsid w:val="002E41F4"/>
    <w:rsid w:val="003E6945"/>
    <w:rsid w:val="00490ED2"/>
    <w:rsid w:val="00503316"/>
    <w:rsid w:val="0052271B"/>
    <w:rsid w:val="00531883"/>
    <w:rsid w:val="00546313"/>
    <w:rsid w:val="005C1B69"/>
    <w:rsid w:val="005F0BCF"/>
    <w:rsid w:val="005F4D41"/>
    <w:rsid w:val="00623B18"/>
    <w:rsid w:val="00656A5A"/>
    <w:rsid w:val="006944F7"/>
    <w:rsid w:val="00697EAC"/>
    <w:rsid w:val="006A7E07"/>
    <w:rsid w:val="006F1E34"/>
    <w:rsid w:val="00707549"/>
    <w:rsid w:val="00750334"/>
    <w:rsid w:val="0084065A"/>
    <w:rsid w:val="00866915"/>
    <w:rsid w:val="0089210F"/>
    <w:rsid w:val="008970B5"/>
    <w:rsid w:val="008A3A9D"/>
    <w:rsid w:val="008D23FE"/>
    <w:rsid w:val="008D4C5A"/>
    <w:rsid w:val="009E04D8"/>
    <w:rsid w:val="00A4765E"/>
    <w:rsid w:val="00A94D0D"/>
    <w:rsid w:val="00AA1034"/>
    <w:rsid w:val="00AA663D"/>
    <w:rsid w:val="00B105FC"/>
    <w:rsid w:val="00B63605"/>
    <w:rsid w:val="00B77B10"/>
    <w:rsid w:val="00C13875"/>
    <w:rsid w:val="00C21539"/>
    <w:rsid w:val="00C537D7"/>
    <w:rsid w:val="00CA2EF7"/>
    <w:rsid w:val="00CA4D7D"/>
    <w:rsid w:val="00CA5836"/>
    <w:rsid w:val="00CC6F5F"/>
    <w:rsid w:val="00CE2429"/>
    <w:rsid w:val="00D37B96"/>
    <w:rsid w:val="00D61047"/>
    <w:rsid w:val="00EA0259"/>
    <w:rsid w:val="00F27C30"/>
    <w:rsid w:val="00FC3B93"/>
    <w:rsid w:val="00FC62E3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9E04"/>
  <w15:docId w15:val="{6C7BD0E9-C0B5-47BD-95A7-A4054D30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B69"/>
  </w:style>
  <w:style w:type="paragraph" w:styleId="1">
    <w:name w:val="heading 1"/>
    <w:basedOn w:val="a"/>
    <w:next w:val="a"/>
    <w:link w:val="10"/>
    <w:uiPriority w:val="9"/>
    <w:qFormat/>
    <w:rsid w:val="00AA6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(Подраздел),Подразд. доклада,Заголовок 2 Знак1,Заголовок 2 Знак Знак,Заголовок 2 Знак2 Знак Знак,Заголовок 2 Знак1 Знак Знак Знак,Заголовок 2 Знак Знак Знак Знак Знак,Знак1 Знак Знак Знак Знак Знак, Знак22 Знак Знак1"/>
    <w:next w:val="a0"/>
    <w:link w:val="22"/>
    <w:qFormat/>
    <w:rsid w:val="00FF6F1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qFormat/>
    <w:rsid w:val="00FC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aliases w:val="Знак4 Знак Знак,Обычный (Web),Знак4,Знак4 Знак Знак Знак Знак,Знак4 Знак"/>
    <w:basedOn w:val="a"/>
    <w:uiPriority w:val="99"/>
    <w:unhideWhenUsed/>
    <w:rsid w:val="00866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Title Up"/>
    <w:basedOn w:val="a"/>
    <w:link w:val="a6"/>
    <w:uiPriority w:val="99"/>
    <w:unhideWhenUsed/>
    <w:rsid w:val="008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Title Up Знак"/>
    <w:basedOn w:val="a1"/>
    <w:link w:val="a5"/>
    <w:uiPriority w:val="99"/>
    <w:rsid w:val="008970B5"/>
  </w:style>
  <w:style w:type="character" w:customStyle="1" w:styleId="a7">
    <w:name w:val="Основной текст_"/>
    <w:link w:val="3"/>
    <w:rsid w:val="000033C9"/>
    <w:rPr>
      <w:rFonts w:ascii="Arial" w:eastAsia="SimSun" w:hAnsi="Arial" w:cs="Arial"/>
      <w:sz w:val="26"/>
      <w:szCs w:val="26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7"/>
    <w:rsid w:val="000033C9"/>
    <w:pPr>
      <w:widowControl w:val="0"/>
      <w:shd w:val="clear" w:color="auto" w:fill="FFFFFF"/>
      <w:spacing w:after="0" w:line="317" w:lineRule="exact"/>
      <w:jc w:val="both"/>
    </w:pPr>
    <w:rPr>
      <w:rFonts w:ascii="Arial" w:eastAsia="SimSun" w:hAnsi="Arial" w:cs="Arial"/>
      <w:sz w:val="26"/>
      <w:szCs w:val="26"/>
      <w:lang w:val="en-US"/>
    </w:rPr>
  </w:style>
  <w:style w:type="paragraph" w:styleId="a8">
    <w:name w:val="List Paragraph"/>
    <w:aliases w:val="Таблицы,punto elenco,Абзац списка - заголовок 3,Paragraph,Citation List,Resume Title,List Paragraph Char Char,Bullet 1,List Paragraph1,b1,Number_1,SGLText List Paragraph,new,lp1,Normal Sentence,Colorful List - Accent 11,ListPar1,list1"/>
    <w:basedOn w:val="a"/>
    <w:link w:val="a9"/>
    <w:uiPriority w:val="34"/>
    <w:qFormat/>
    <w:rsid w:val="000033C9"/>
    <w:pPr>
      <w:ind w:left="720"/>
      <w:contextualSpacing/>
    </w:pPr>
  </w:style>
  <w:style w:type="paragraph" w:styleId="a0">
    <w:name w:val="Body Text"/>
    <w:aliases w:val="AETC-Body,DNV-Body,AETC-Body1,DNV-Body1,Основной текст Знак Знак,Основной текст Знак1,Основной текст Знак Знак Знак Знак"/>
    <w:link w:val="20"/>
    <w:rsid w:val="00A4765E"/>
    <w:pPr>
      <w:shd w:val="clear" w:color="auto" w:fill="FFFFFF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pacing w:val="7"/>
      <w:sz w:val="28"/>
      <w:szCs w:val="24"/>
      <w:lang w:eastAsia="ru-RU"/>
    </w:rPr>
  </w:style>
  <w:style w:type="character" w:customStyle="1" w:styleId="aa">
    <w:name w:val="Основной текст Знак"/>
    <w:basedOn w:val="a1"/>
    <w:uiPriority w:val="99"/>
    <w:semiHidden/>
    <w:rsid w:val="00A4765E"/>
  </w:style>
  <w:style w:type="character" w:customStyle="1" w:styleId="20">
    <w:name w:val="Основной текст Знак2"/>
    <w:aliases w:val="AETC-Body Знак,DNV-Body Знак,AETC-Body1 Знак,DNV-Body1 Знак,Основной текст Знак Знак Знак,Основной текст Знак1 Знак,Основной текст Знак Знак Знак Знак Знак"/>
    <w:link w:val="a0"/>
    <w:rsid w:val="00A4765E"/>
    <w:rPr>
      <w:rFonts w:ascii="Times New Roman" w:eastAsia="Times New Roman" w:hAnsi="Times New Roman" w:cs="Times New Roman"/>
      <w:color w:val="000000"/>
      <w:spacing w:val="7"/>
      <w:sz w:val="28"/>
      <w:szCs w:val="24"/>
      <w:shd w:val="clear" w:color="auto" w:fill="FFFFFF"/>
      <w:lang w:eastAsia="ru-RU"/>
    </w:rPr>
  </w:style>
  <w:style w:type="character" w:customStyle="1" w:styleId="s0">
    <w:name w:val="s0"/>
    <w:rsid w:val="00A4765E"/>
    <w:rPr>
      <w:rFonts w:ascii="Times New Roman" w:hAnsi="Times New Roman" w:cs="Times New Roman"/>
      <w:color w:val="000000"/>
      <w:u w:val="none"/>
      <w:effect w:val="none"/>
    </w:rPr>
  </w:style>
  <w:style w:type="paragraph" w:styleId="ab">
    <w:name w:val="Body Text Indent"/>
    <w:basedOn w:val="a"/>
    <w:link w:val="ac"/>
    <w:rsid w:val="00A4765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A4765E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EA025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EA0259"/>
    <w:rPr>
      <w:rFonts w:ascii="Calibri" w:eastAsia="Times New Roman" w:hAnsi="Calibri" w:cs="Times New Roman"/>
    </w:rPr>
  </w:style>
  <w:style w:type="character" w:styleId="af">
    <w:name w:val="Hyperlink"/>
    <w:uiPriority w:val="99"/>
    <w:rsid w:val="00182DAA"/>
    <w:rPr>
      <w:color w:val="0000FF"/>
      <w:u w:val="single"/>
    </w:rPr>
  </w:style>
  <w:style w:type="character" w:customStyle="1" w:styleId="a9">
    <w:name w:val="Абзац списка Знак"/>
    <w:aliases w:val="Таблицы Знак,punto elenco Знак,Абзац списка - заголовок 3 Знак,Paragraph Знак,Citation List Знак,Resume Title Знак,List Paragraph Char Char Знак,Bullet 1 Знак,List Paragraph1 Знак,b1 Знак,Number_1 Знак,SGLText List Paragraph Знак"/>
    <w:link w:val="a8"/>
    <w:uiPriority w:val="34"/>
    <w:qFormat/>
    <w:rsid w:val="00182DAA"/>
  </w:style>
  <w:style w:type="paragraph" w:styleId="21">
    <w:name w:val="Body Text Indent 2"/>
    <w:basedOn w:val="a"/>
    <w:link w:val="210"/>
    <w:rsid w:val="00FF6F1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1"/>
    <w:uiPriority w:val="99"/>
    <w:semiHidden/>
    <w:rsid w:val="00FF6F13"/>
  </w:style>
  <w:style w:type="character" w:customStyle="1" w:styleId="210">
    <w:name w:val="Основной текст с отступом 2 Знак1"/>
    <w:link w:val="21"/>
    <w:rsid w:val="00FF6F1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Мой текст"/>
    <w:link w:val="af1"/>
    <w:rsid w:val="00FF6F13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Мой текст Знак"/>
    <w:link w:val="af0"/>
    <w:rsid w:val="00FF6F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Заголовок 2 Знак"/>
    <w:basedOn w:val="a1"/>
    <w:uiPriority w:val="9"/>
    <w:rsid w:val="00FF6F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2 Знак2"/>
    <w:aliases w:val="(Подраздел) Знак,Подразд. доклада Знак,Заголовок 2 Знак1 Знак,Заголовок 2 Знак Знак Знак,Заголовок 2 Знак2 Знак Знак Знак,Заголовок 2 Знак1 Знак Знак Знак Знак,Заголовок 2 Знак Знак Знак Знак Знак Знак, Знак22 Знак Знак1 Знак"/>
    <w:link w:val="2"/>
    <w:rsid w:val="00FF6F13"/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A6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1">
    <w:name w:val="Основной текст 21"/>
    <w:basedOn w:val="a"/>
    <w:rsid w:val="00AA663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f2">
    <w:name w:val="А_Обычный"/>
    <w:basedOn w:val="a"/>
    <w:link w:val="af3"/>
    <w:qFormat/>
    <w:rsid w:val="00AA663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af3">
    <w:name w:val="А_Обычный Знак"/>
    <w:link w:val="af2"/>
    <w:rsid w:val="00AA663D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value">
    <w:name w:val="value"/>
    <w:basedOn w:val="a1"/>
    <w:rsid w:val="00AA663D"/>
  </w:style>
  <w:style w:type="paragraph" w:styleId="af4">
    <w:name w:val="caption"/>
    <w:basedOn w:val="a"/>
    <w:next w:val="a"/>
    <w:uiPriority w:val="35"/>
    <w:unhideWhenUsed/>
    <w:qFormat/>
    <w:rsid w:val="00AA663D"/>
    <w:pPr>
      <w:spacing w:line="240" w:lineRule="auto"/>
      <w:ind w:firstLine="709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paragraph" w:customStyle="1" w:styleId="5">
    <w:name w:val="Основной текст5"/>
    <w:basedOn w:val="a"/>
    <w:qFormat/>
    <w:rsid w:val="00AA663D"/>
    <w:pPr>
      <w:widowControl w:val="0"/>
      <w:shd w:val="clear" w:color="auto" w:fill="FFFFFF"/>
      <w:spacing w:after="600" w:line="0" w:lineRule="atLeast"/>
      <w:ind w:hanging="360"/>
      <w:jc w:val="center"/>
    </w:pPr>
    <w:rPr>
      <w:rFonts w:ascii="Calibri" w:eastAsia="Times New Roman" w:hAnsi="Calibri" w:cs="Calibri"/>
      <w:sz w:val="23"/>
      <w:szCs w:val="23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A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AA6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ma134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7014669229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5443</Words>
  <Characters>31026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Багдат Баймурат</cp:lastModifiedBy>
  <cp:revision>5</cp:revision>
  <dcterms:created xsi:type="dcterms:W3CDTF">2026-02-03T18:34:00Z</dcterms:created>
  <dcterms:modified xsi:type="dcterms:W3CDTF">2026-07-13T12:04:00Z</dcterms:modified>
</cp:coreProperties>
</file>