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7D8" w:rsidRPr="009307D8" w:rsidRDefault="009307D8" w:rsidP="009307D8">
      <w:pPr>
        <w:pStyle w:val="a7"/>
        <w:jc w:val="center"/>
        <w:rPr>
          <w:lang w:val="kk-KZ"/>
        </w:rPr>
      </w:pPr>
      <w:bookmarkStart w:id="0" w:name="_Toc206686561"/>
      <w:bookmarkStart w:id="1" w:name="_Toc228200731"/>
      <w:r w:rsidRPr="00172335">
        <w:t>КРАТКОЕ НЕТЕХНИЧЕСКОЕ РЕЗЮМЕ</w:t>
      </w:r>
      <w:bookmarkEnd w:id="0"/>
      <w:bookmarkEnd w:id="1"/>
    </w:p>
    <w:p w:rsidR="009307D8" w:rsidRPr="005E5A20" w:rsidRDefault="009307D8" w:rsidP="009307D8">
      <w:pPr>
        <w:spacing w:line="360" w:lineRule="auto"/>
        <w:ind w:firstLine="737"/>
        <w:jc w:val="both"/>
        <w:rPr>
          <w:b/>
          <w:sz w:val="24"/>
        </w:rPr>
      </w:pPr>
      <w:r w:rsidRPr="005E5A20">
        <w:rPr>
          <w:b/>
          <w:sz w:val="24"/>
        </w:rPr>
        <w:t>Описание предполагаемого места деятельности, план с изображением его границ</w:t>
      </w:r>
    </w:p>
    <w:p w:rsidR="00A30DAC" w:rsidRPr="00B31791" w:rsidRDefault="00A30DAC" w:rsidP="00B31791">
      <w:pPr>
        <w:pStyle w:val="a4"/>
      </w:pPr>
      <w:r w:rsidRPr="00B31791">
        <w:t xml:space="preserve">Месторождение Дунга - действующее нефтегазодобывающее месторождение. Территориально месторождение Дунга относится к </w:t>
      </w:r>
      <w:proofErr w:type="spellStart"/>
      <w:r w:rsidRPr="00B31791">
        <w:t>Тупкараганскому</w:t>
      </w:r>
      <w:proofErr w:type="spellEnd"/>
      <w:r w:rsidRPr="00B31791">
        <w:t xml:space="preserve"> и частично </w:t>
      </w:r>
      <w:proofErr w:type="spellStart"/>
      <w:r w:rsidRPr="00B31791">
        <w:t>Мунайлинскому</w:t>
      </w:r>
      <w:proofErr w:type="spellEnd"/>
      <w:r w:rsidRPr="00B31791">
        <w:t xml:space="preserve"> районам </w:t>
      </w:r>
      <w:proofErr w:type="spellStart"/>
      <w:r w:rsidRPr="00B31791">
        <w:t>Мангистауской</w:t>
      </w:r>
      <w:proofErr w:type="spellEnd"/>
      <w:r w:rsidRPr="00B31791">
        <w:t xml:space="preserve"> области Республики Казахстан. Областной центр </w:t>
      </w:r>
      <w:proofErr w:type="gramStart"/>
      <w:r w:rsidRPr="00B31791">
        <w:t>г</w:t>
      </w:r>
      <w:proofErr w:type="gramEnd"/>
      <w:r w:rsidRPr="00B31791">
        <w:t xml:space="preserve">. Актау находится на расстоянии 50 км от месторождения Дунга. Ближайшими населенными пунктами являются поселки </w:t>
      </w:r>
      <w:proofErr w:type="spellStart"/>
      <w:r w:rsidRPr="00B31791">
        <w:t>Сайын</w:t>
      </w:r>
      <w:proofErr w:type="spellEnd"/>
      <w:r w:rsidRPr="00B31791">
        <w:t xml:space="preserve"> и </w:t>
      </w:r>
      <w:proofErr w:type="spellStart"/>
      <w:r w:rsidRPr="00B31791">
        <w:t>Акшукур</w:t>
      </w:r>
      <w:proofErr w:type="spellEnd"/>
      <w:r w:rsidRPr="00B31791">
        <w:t xml:space="preserve">, которые находятся на </w:t>
      </w:r>
      <w:proofErr w:type="gramStart"/>
      <w:r w:rsidRPr="00B31791">
        <w:t>расстоянии</w:t>
      </w:r>
      <w:proofErr w:type="gramEnd"/>
      <w:r w:rsidRPr="00B31791">
        <w:t xml:space="preserve"> 25 км и 32 км от месторождения соответственно.</w:t>
      </w:r>
    </w:p>
    <w:p w:rsidR="00B31791" w:rsidRDefault="00B31791" w:rsidP="00B31791">
      <w:pPr>
        <w:pStyle w:val="a4"/>
      </w:pPr>
      <w:r w:rsidRPr="003D5A1A">
        <w:t xml:space="preserve">Изученная полоса вдоль оси проектируемого экспортного нефтепровода протягивается от ограждения ЦПС, находящегося на месторождении Дунга, до площадки КУУН. КУУН находится в 9.977 км восточнее границы месторождения Дунга по оси проектной трассы. Трасса нефтепровода проходит частично по </w:t>
      </w:r>
      <w:proofErr w:type="spellStart"/>
      <w:r w:rsidRPr="003D5A1A">
        <w:t>Тупкараганскому</w:t>
      </w:r>
      <w:proofErr w:type="spellEnd"/>
      <w:r w:rsidRPr="003D5A1A">
        <w:t xml:space="preserve"> району и частично по </w:t>
      </w:r>
      <w:proofErr w:type="spellStart"/>
      <w:r w:rsidRPr="003D5A1A">
        <w:t>Мунайлинскому</w:t>
      </w:r>
      <w:proofErr w:type="spellEnd"/>
      <w:r w:rsidRPr="003D5A1A">
        <w:t xml:space="preserve"> району </w:t>
      </w:r>
      <w:proofErr w:type="spellStart"/>
      <w:r w:rsidRPr="003D5A1A">
        <w:t>Мангистауской</w:t>
      </w:r>
      <w:proofErr w:type="spellEnd"/>
      <w:r w:rsidRPr="003D5A1A">
        <w:t xml:space="preserve"> области. Границей деления является автодорога </w:t>
      </w:r>
      <w:proofErr w:type="spellStart"/>
      <w:r w:rsidRPr="003D5A1A">
        <w:t>Актау-Каламкас</w:t>
      </w:r>
      <w:proofErr w:type="spellEnd"/>
      <w:r w:rsidRPr="003D5A1A">
        <w:t xml:space="preserve">. </w:t>
      </w:r>
    </w:p>
    <w:p w:rsidR="00B31791" w:rsidRPr="00B31759" w:rsidRDefault="00B31791" w:rsidP="00B31791">
      <w:pPr>
        <w:pStyle w:val="a4"/>
      </w:pPr>
      <w:r w:rsidRPr="00B31759">
        <w:t>Государственная лицензия МГ №966-нефть от 29 ноября 1996 года на право пользования недрами, добычу углеводородного сырья на месторождении Дунга от 29 ноября 1996 года.</w:t>
      </w:r>
    </w:p>
    <w:p w:rsidR="00B31791" w:rsidRDefault="00B31791" w:rsidP="00B31791">
      <w:pPr>
        <w:pStyle w:val="a4"/>
      </w:pPr>
      <w:r w:rsidRPr="008D35D1">
        <w:t>Площадь горного отвода составляет 28125,9 га, площадь земельного отвода месторождения Дунга составляет 8488,2733 га.</w:t>
      </w:r>
    </w:p>
    <w:p w:rsidR="00B31791" w:rsidRPr="00B31759" w:rsidRDefault="00B31791" w:rsidP="00B31791">
      <w:pPr>
        <w:pStyle w:val="a4"/>
      </w:pPr>
      <w:r w:rsidRPr="00B31759">
        <w:t>В пределах горного отвода месторождения и его окрестностях отсутствуют здания и сооружения гражданского назначения, сельскохозяйственные и лесные угодья.</w:t>
      </w:r>
    </w:p>
    <w:p w:rsidR="00B31791" w:rsidRPr="00B31759" w:rsidRDefault="00B31791" w:rsidP="00B31791">
      <w:pPr>
        <w:pStyle w:val="a4"/>
      </w:pPr>
      <w:r w:rsidRPr="00B31759">
        <w:t xml:space="preserve">Акты на право временного возмездного (долгосрочного, краткосрочного) землепользования (аренды) для строительства и эксплуатации </w:t>
      </w:r>
      <w:proofErr w:type="gramStart"/>
      <w:r w:rsidRPr="00B31759">
        <w:t>м</w:t>
      </w:r>
      <w:proofErr w:type="gramEnd"/>
      <w:r w:rsidRPr="00B31759">
        <w:t xml:space="preserve">/р Дунга </w:t>
      </w:r>
      <w:proofErr w:type="spellStart"/>
      <w:r w:rsidRPr="00B31759">
        <w:t>Мунайлинского</w:t>
      </w:r>
      <w:proofErr w:type="spellEnd"/>
      <w:r w:rsidRPr="00B31759">
        <w:t xml:space="preserve"> и </w:t>
      </w:r>
      <w:proofErr w:type="spellStart"/>
      <w:r w:rsidRPr="00B31759">
        <w:t>Тупкараганского</w:t>
      </w:r>
      <w:proofErr w:type="spellEnd"/>
      <w:r w:rsidRPr="00B31759">
        <w:t xml:space="preserve"> районов (№199 от 02.04.2012, №200 от 02.04.2012, №398 от 02.04.2012 года).</w:t>
      </w:r>
    </w:p>
    <w:p w:rsidR="00B31791" w:rsidRPr="00B31759" w:rsidRDefault="00B31791" w:rsidP="00B31791">
      <w:pPr>
        <w:pStyle w:val="a4"/>
      </w:pPr>
      <w:r w:rsidRPr="00B31759">
        <w:t xml:space="preserve">Постановления №26 и №27 от 24.02.12 года </w:t>
      </w:r>
      <w:proofErr w:type="spellStart"/>
      <w:r w:rsidRPr="00B31759">
        <w:t>Мангистауского</w:t>
      </w:r>
      <w:proofErr w:type="spellEnd"/>
      <w:r w:rsidRPr="00B31759">
        <w:t xml:space="preserve"> областного </w:t>
      </w:r>
      <w:proofErr w:type="spellStart"/>
      <w:r w:rsidRPr="00B31759">
        <w:t>акимата</w:t>
      </w:r>
      <w:proofErr w:type="spellEnd"/>
      <w:r w:rsidRPr="00B31759">
        <w:t xml:space="preserve"> о предоставлении компании </w:t>
      </w:r>
      <w:r w:rsidRPr="00F10ED5">
        <w:t>«</w:t>
      </w:r>
      <w:proofErr w:type="spellStart"/>
      <w:r w:rsidRPr="00B31791">
        <w:t>Dunga</w:t>
      </w:r>
      <w:proofErr w:type="spellEnd"/>
      <w:r w:rsidRPr="00F10ED5">
        <w:t xml:space="preserve"> </w:t>
      </w:r>
      <w:proofErr w:type="spellStart"/>
      <w:r w:rsidRPr="00B31791">
        <w:t>Operating</w:t>
      </w:r>
      <w:proofErr w:type="spellEnd"/>
      <w:r w:rsidRPr="00F10ED5">
        <w:t xml:space="preserve"> </w:t>
      </w:r>
      <w:proofErr w:type="spellStart"/>
      <w:r w:rsidRPr="00B31791">
        <w:t>GmbH</w:t>
      </w:r>
      <w:proofErr w:type="spellEnd"/>
      <w:r w:rsidRPr="00F10ED5">
        <w:t>»</w:t>
      </w:r>
      <w:r>
        <w:t xml:space="preserve"> </w:t>
      </w:r>
      <w:r w:rsidRPr="00B31759">
        <w:t xml:space="preserve">права временного возмездного землепользования (аренды) для добычи углеводородного сырья на м/р Дунга </w:t>
      </w:r>
      <w:proofErr w:type="spellStart"/>
      <w:r w:rsidRPr="00B31759">
        <w:t>Мунайлин</w:t>
      </w:r>
      <w:r>
        <w:t>ского</w:t>
      </w:r>
      <w:proofErr w:type="spellEnd"/>
      <w:r>
        <w:t xml:space="preserve"> и </w:t>
      </w:r>
      <w:proofErr w:type="spellStart"/>
      <w:r>
        <w:t>Тупкараганского</w:t>
      </w:r>
      <w:proofErr w:type="spellEnd"/>
      <w:r>
        <w:t xml:space="preserve"> районов.</w:t>
      </w:r>
    </w:p>
    <w:p w:rsidR="003C6C6E" w:rsidRDefault="003C6C6E" w:rsidP="003C6C6E">
      <w:pPr>
        <w:pStyle w:val="a4"/>
      </w:pPr>
      <w:r>
        <w:t xml:space="preserve">Географические координаты Горного отвода: </w:t>
      </w:r>
    </w:p>
    <w:p w:rsidR="003C6C6E" w:rsidRDefault="003C6C6E" w:rsidP="003C6C6E">
      <w:pPr>
        <w:pStyle w:val="a4"/>
      </w:pPr>
      <w:r>
        <w:t xml:space="preserve">1.44°06'00" СШ, 50°52'00"ВД;   2. 44°08'00" СШ, 50°52'00"ВД; </w:t>
      </w:r>
    </w:p>
    <w:p w:rsidR="003C6C6E" w:rsidRDefault="003C6C6E" w:rsidP="003C6C6E">
      <w:pPr>
        <w:pStyle w:val="a4"/>
      </w:pPr>
      <w:r>
        <w:t xml:space="preserve">3. 44°08'00" СШ, 51°10'00"ВД; 4. 44°00'00" СШ, 51°10'00"ВД; </w:t>
      </w:r>
    </w:p>
    <w:p w:rsidR="003C6C6E" w:rsidRDefault="003C6C6E" w:rsidP="003C6C6E">
      <w:pPr>
        <w:pStyle w:val="a4"/>
      </w:pPr>
      <w:r>
        <w:t xml:space="preserve">5. 44°00'00" СШ, 51°02'00"ВД. </w:t>
      </w:r>
    </w:p>
    <w:p w:rsidR="003C6C6E" w:rsidRDefault="003C6C6E" w:rsidP="003C6C6E">
      <w:pPr>
        <w:pStyle w:val="a4"/>
      </w:pPr>
      <w:r>
        <w:lastRenderedPageBreak/>
        <w:t xml:space="preserve">Координаты обустраиваемого объекта (нефтепровод): начало трассы 44° 03'13.93" </w:t>
      </w:r>
    </w:p>
    <w:p w:rsidR="00A30DAC" w:rsidRDefault="003C6C6E" w:rsidP="003C6C6E">
      <w:pPr>
        <w:pStyle w:val="a4"/>
      </w:pPr>
      <w:r>
        <w:t>СШ, 51° 03'20.76" ВД; конец трассы 44° 03' 22.48" СШ, 51° 16' 32.09" ВД.</w:t>
      </w:r>
    </w:p>
    <w:p w:rsidR="009307D8" w:rsidRPr="008E24FE" w:rsidRDefault="00A30DAC" w:rsidP="009307D8">
      <w:pPr>
        <w:pStyle w:val="a4"/>
        <w:ind w:firstLine="0"/>
        <w:jc w:val="center"/>
      </w:pPr>
      <w:r w:rsidRPr="00A30DAC">
        <w:rPr>
          <w:noProof/>
        </w:rPr>
        <w:drawing>
          <wp:inline distT="0" distB="0" distL="0" distR="0">
            <wp:extent cx="6121400" cy="4715708"/>
            <wp:effectExtent l="19050" t="19050" r="12700" b="27742"/>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srcRect/>
                    <a:stretch>
                      <a:fillRect/>
                    </a:stretch>
                  </pic:blipFill>
                  <pic:spPr bwMode="auto">
                    <a:xfrm>
                      <a:off x="0" y="0"/>
                      <a:ext cx="6121400" cy="4715708"/>
                    </a:xfrm>
                    <a:prstGeom prst="rect">
                      <a:avLst/>
                    </a:prstGeom>
                    <a:noFill/>
                    <a:ln w="6350" cmpd="sng">
                      <a:solidFill>
                        <a:srgbClr val="000000"/>
                      </a:solidFill>
                      <a:miter lim="800000"/>
                      <a:headEnd/>
                      <a:tailEnd/>
                    </a:ln>
                    <a:effectLst/>
                  </pic:spPr>
                </pic:pic>
              </a:graphicData>
            </a:graphic>
          </wp:inline>
        </w:drawing>
      </w:r>
    </w:p>
    <w:p w:rsidR="00A30DAC" w:rsidRDefault="009307D8" w:rsidP="00A30DAC">
      <w:pPr>
        <w:pStyle w:val="af3"/>
        <w:spacing w:after="120"/>
        <w:ind w:left="357"/>
        <w:jc w:val="center"/>
        <w:rPr>
          <w:rFonts w:ascii="Arial" w:hAnsi="Arial" w:cs="Arial"/>
          <w:b/>
          <w:i/>
          <w:sz w:val="20"/>
          <w:lang w:eastAsia="da-DK"/>
        </w:rPr>
      </w:pPr>
      <w:r w:rsidRPr="008E24FE">
        <w:rPr>
          <w:b/>
          <w:sz w:val="20"/>
          <w:szCs w:val="20"/>
        </w:rPr>
        <w:t>Рисунок</w:t>
      </w:r>
      <w:r>
        <w:rPr>
          <w:b/>
          <w:sz w:val="20"/>
          <w:szCs w:val="20"/>
        </w:rPr>
        <w:t xml:space="preserve"> </w:t>
      </w:r>
      <w:r w:rsidRPr="008E24FE">
        <w:rPr>
          <w:b/>
          <w:sz w:val="20"/>
          <w:szCs w:val="20"/>
        </w:rPr>
        <w:t xml:space="preserve">- </w:t>
      </w:r>
      <w:r w:rsidR="00A30DAC" w:rsidRPr="0047417A">
        <w:rPr>
          <w:rFonts w:ascii="Arial" w:hAnsi="Arial" w:cs="Arial"/>
          <w:b/>
          <w:i/>
          <w:sz w:val="20"/>
          <w:lang w:eastAsia="da-DK"/>
        </w:rPr>
        <w:t xml:space="preserve">Схема расположения </w:t>
      </w:r>
      <w:r w:rsidR="00A30DAC">
        <w:rPr>
          <w:rFonts w:ascii="Arial" w:hAnsi="Arial" w:cs="Arial"/>
          <w:b/>
          <w:i/>
          <w:sz w:val="20"/>
          <w:lang w:eastAsia="da-DK"/>
        </w:rPr>
        <w:t>проектируемого нефтепровода</w:t>
      </w:r>
    </w:p>
    <w:p w:rsidR="009307D8" w:rsidRPr="008E24FE" w:rsidRDefault="009307D8" w:rsidP="009307D8">
      <w:pPr>
        <w:pStyle w:val="ab"/>
        <w:spacing w:line="240" w:lineRule="auto"/>
        <w:ind w:firstLine="0"/>
        <w:jc w:val="center"/>
        <w:outlineLvl w:val="0"/>
        <w:rPr>
          <w:b/>
          <w:sz w:val="20"/>
          <w:szCs w:val="20"/>
        </w:rPr>
      </w:pPr>
    </w:p>
    <w:p w:rsidR="009307D8" w:rsidRDefault="009307D8" w:rsidP="009307D8">
      <w:pPr>
        <w:pStyle w:val="aa"/>
        <w:spacing w:after="120"/>
      </w:pPr>
      <w:bookmarkStart w:id="2" w:name="_Toc208579113"/>
      <w:bookmarkStart w:id="3" w:name="_Toc209015858"/>
      <w:bookmarkStart w:id="4" w:name="_Toc228200732"/>
      <w:r w:rsidRPr="008E24FE">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bookmarkEnd w:id="2"/>
      <w:bookmarkEnd w:id="3"/>
      <w:bookmarkEnd w:id="4"/>
    </w:p>
    <w:p w:rsidR="007C3A39" w:rsidRPr="007C3A39" w:rsidRDefault="007C3A39" w:rsidP="007C3A39">
      <w:pPr>
        <w:pStyle w:val="a4"/>
      </w:pPr>
      <w:r w:rsidRPr="007C3A39">
        <w:t xml:space="preserve">Месторождение Дунга - действующее нефтегазодобывающее месторождение. Территориально месторождение Дунга относится к </w:t>
      </w:r>
      <w:proofErr w:type="spellStart"/>
      <w:r w:rsidRPr="007C3A39">
        <w:t>Тупкараганскому</w:t>
      </w:r>
      <w:proofErr w:type="spellEnd"/>
      <w:r w:rsidRPr="007C3A39">
        <w:t xml:space="preserve"> и частично </w:t>
      </w:r>
      <w:proofErr w:type="spellStart"/>
      <w:r w:rsidRPr="007C3A39">
        <w:t>Мунайлинскому</w:t>
      </w:r>
      <w:proofErr w:type="spellEnd"/>
      <w:r w:rsidRPr="007C3A39">
        <w:t xml:space="preserve"> районам </w:t>
      </w:r>
      <w:proofErr w:type="spellStart"/>
      <w:r w:rsidRPr="007C3A39">
        <w:t>Мангистауской</w:t>
      </w:r>
      <w:proofErr w:type="spellEnd"/>
      <w:r w:rsidRPr="007C3A39">
        <w:t xml:space="preserve"> области Республики Казахстан. Областной центр </w:t>
      </w:r>
      <w:proofErr w:type="gramStart"/>
      <w:r w:rsidRPr="007C3A39">
        <w:t>г</w:t>
      </w:r>
      <w:proofErr w:type="gramEnd"/>
      <w:r w:rsidRPr="007C3A39">
        <w:t xml:space="preserve">. Актау находится на расстоянии 50 км от месторождения Дунга. Ближайшими населенными пунктами являются поселки </w:t>
      </w:r>
      <w:proofErr w:type="spellStart"/>
      <w:r w:rsidRPr="007C3A39">
        <w:t>Сайын</w:t>
      </w:r>
      <w:proofErr w:type="spellEnd"/>
      <w:r w:rsidRPr="007C3A39">
        <w:t xml:space="preserve"> и </w:t>
      </w:r>
      <w:proofErr w:type="spellStart"/>
      <w:r w:rsidRPr="007C3A39">
        <w:t>Акшукур</w:t>
      </w:r>
      <w:proofErr w:type="spellEnd"/>
      <w:r w:rsidRPr="007C3A39">
        <w:t xml:space="preserve">, которые находятся на </w:t>
      </w:r>
      <w:proofErr w:type="gramStart"/>
      <w:r w:rsidRPr="007C3A39">
        <w:t>расстоянии</w:t>
      </w:r>
      <w:proofErr w:type="gramEnd"/>
      <w:r w:rsidRPr="007C3A39">
        <w:t xml:space="preserve"> 25 км и 32 км от месторождения соответственно.</w:t>
      </w:r>
    </w:p>
    <w:p w:rsidR="007C3A39" w:rsidRDefault="007C3A39" w:rsidP="007C3A39">
      <w:pPr>
        <w:pStyle w:val="a4"/>
      </w:pPr>
      <w:r w:rsidRPr="007C3A39">
        <w:t xml:space="preserve">Климат района отличается резкой </w:t>
      </w:r>
      <w:proofErr w:type="spellStart"/>
      <w:r w:rsidRPr="007C3A39">
        <w:t>континентальностью</w:t>
      </w:r>
      <w:proofErr w:type="spellEnd"/>
      <w:r w:rsidRPr="007C3A39">
        <w:t xml:space="preserve">, </w:t>
      </w:r>
      <w:proofErr w:type="spellStart"/>
      <w:r w:rsidRPr="007C3A39">
        <w:t>аридностью</w:t>
      </w:r>
      <w:proofErr w:type="spellEnd"/>
      <w:r w:rsidRPr="007C3A39">
        <w:t>, проявляющейся в больших годовых и суточных амплитудах воздуха и в неустойчивости климатических показателей.</w:t>
      </w:r>
    </w:p>
    <w:p w:rsidR="00B82639" w:rsidRPr="00B82639" w:rsidRDefault="00B82639" w:rsidP="00B82639">
      <w:pPr>
        <w:pStyle w:val="a4"/>
      </w:pPr>
      <w:r w:rsidRPr="00B82639">
        <w:lastRenderedPageBreak/>
        <w:t xml:space="preserve">Ландшафтными пустынными растениями, участвующими в сложении наиболее широко распространенных сообществ на территории месторождения являются саксаул, разнообразные однолетние солянковые и полыни, а также ковыли и </w:t>
      </w:r>
      <w:proofErr w:type="spellStart"/>
      <w:r w:rsidRPr="00B82639">
        <w:t>гармала</w:t>
      </w:r>
      <w:proofErr w:type="spellEnd"/>
      <w:r w:rsidRPr="00B82639">
        <w:t xml:space="preserve">. Самыми распространенными растениями территории месторождения Дунга являются полынь, верблюжья колючка обыкновенная и </w:t>
      </w:r>
      <w:proofErr w:type="spellStart"/>
      <w:r w:rsidRPr="00B82639">
        <w:t>гармала</w:t>
      </w:r>
      <w:proofErr w:type="spellEnd"/>
      <w:r w:rsidRPr="00B82639">
        <w:t>. Флористический состав растительных сообществ очень скуден. Наибольшим разнообразием представлены семейство злаковых (</w:t>
      </w:r>
      <w:proofErr w:type="spellStart"/>
      <w:r w:rsidRPr="00B82639">
        <w:t>Poacea</w:t>
      </w:r>
      <w:proofErr w:type="gramStart"/>
      <w:r w:rsidRPr="00B82639">
        <w:t>е</w:t>
      </w:r>
      <w:proofErr w:type="spellEnd"/>
      <w:proofErr w:type="gramEnd"/>
      <w:r w:rsidRPr="00B82639">
        <w:t>) и сложноцветных (</w:t>
      </w:r>
      <w:proofErr w:type="spellStart"/>
      <w:r w:rsidRPr="00B82639">
        <w:t>Asteraceae</w:t>
      </w:r>
      <w:proofErr w:type="spellEnd"/>
      <w:r w:rsidRPr="00B82639">
        <w:t>).</w:t>
      </w:r>
    </w:p>
    <w:p w:rsidR="00B82639" w:rsidRDefault="00B82639" w:rsidP="00B82639">
      <w:pPr>
        <w:pStyle w:val="a4"/>
      </w:pPr>
      <w:r w:rsidRPr="00B82639">
        <w:t xml:space="preserve">Редких, </w:t>
      </w:r>
      <w:proofErr w:type="spellStart"/>
      <w:r w:rsidRPr="00B82639">
        <w:t>эндемичных</w:t>
      </w:r>
      <w:proofErr w:type="spellEnd"/>
      <w:r w:rsidRPr="00B82639">
        <w:t xml:space="preserve"> и реликтовых видов растений на территории месторождения Дунга не обнаружено. В рамках настоящего проекта вырубка и перенос зеленых насаждений не предполагаются.</w:t>
      </w:r>
    </w:p>
    <w:p w:rsidR="009307D8" w:rsidRPr="008E24FE" w:rsidRDefault="009307D8" w:rsidP="009307D8">
      <w:pPr>
        <w:pStyle w:val="aa"/>
        <w:spacing w:after="120"/>
      </w:pPr>
      <w:bookmarkStart w:id="5" w:name="_Toc208579114"/>
      <w:bookmarkStart w:id="6" w:name="_Toc209015859"/>
      <w:bookmarkStart w:id="7" w:name="_Toc228200733"/>
      <w:r w:rsidRPr="008E24FE">
        <w:t>Сведения об инициаторе намечаемой деятельности, его контактные данные</w:t>
      </w:r>
      <w:bookmarkEnd w:id="5"/>
      <w:bookmarkEnd w:id="6"/>
      <w:bookmarkEnd w:id="7"/>
    </w:p>
    <w:p w:rsidR="007C3A39" w:rsidRDefault="009307D8" w:rsidP="009307D8">
      <w:pPr>
        <w:pStyle w:val="a4"/>
      </w:pPr>
      <w:r w:rsidRPr="006B0800">
        <w:t xml:space="preserve">Инициатор намечаемой деятельности: </w:t>
      </w:r>
      <w:r w:rsidR="007C3A39" w:rsidRPr="00E864A2">
        <w:rPr>
          <w:b/>
          <w:bCs/>
          <w:sz w:val="20"/>
          <w:szCs w:val="20"/>
        </w:rPr>
        <w:t>Филиал</w:t>
      </w:r>
      <w:r w:rsidR="007C3A39" w:rsidRPr="00E864A2">
        <w:rPr>
          <w:b/>
          <w:bCs/>
          <w:spacing w:val="-6"/>
          <w:sz w:val="20"/>
          <w:szCs w:val="20"/>
        </w:rPr>
        <w:t xml:space="preserve"> </w:t>
      </w:r>
      <w:r w:rsidR="007C3A39" w:rsidRPr="00E864A2">
        <w:rPr>
          <w:b/>
          <w:bCs/>
          <w:sz w:val="20"/>
          <w:szCs w:val="20"/>
        </w:rPr>
        <w:t>«</w:t>
      </w:r>
      <w:r w:rsidR="007C3A39" w:rsidRPr="00E864A2">
        <w:rPr>
          <w:b/>
          <w:bCs/>
          <w:sz w:val="20"/>
          <w:szCs w:val="20"/>
          <w:lang w:val="kk-KZ"/>
        </w:rPr>
        <w:t>Dunga Operating GmbH</w:t>
      </w:r>
      <w:r w:rsidR="007C3A39">
        <w:rPr>
          <w:b/>
          <w:bCs/>
          <w:sz w:val="20"/>
          <w:szCs w:val="20"/>
        </w:rPr>
        <w:t xml:space="preserve">», </w:t>
      </w:r>
      <w:r>
        <w:t xml:space="preserve">месторождение </w:t>
      </w:r>
      <w:r w:rsidR="007C3A39">
        <w:t>Дунга</w:t>
      </w:r>
      <w:r>
        <w:t xml:space="preserve">, </w:t>
      </w:r>
      <w:r w:rsidRPr="006B0800">
        <w:t xml:space="preserve">Республика Казахстан, </w:t>
      </w:r>
      <w:proofErr w:type="spellStart"/>
      <w:r w:rsidR="007C3A39">
        <w:t>Магистауская</w:t>
      </w:r>
      <w:proofErr w:type="spellEnd"/>
      <w:r w:rsidRPr="006B0800">
        <w:t xml:space="preserve"> область, </w:t>
      </w:r>
      <w:proofErr w:type="spellStart"/>
      <w:r w:rsidR="007C3A39">
        <w:t>Тупкараганский</w:t>
      </w:r>
      <w:proofErr w:type="spellEnd"/>
      <w:r w:rsidR="007C3A39">
        <w:t xml:space="preserve"> и </w:t>
      </w:r>
      <w:proofErr w:type="spellStart"/>
      <w:r w:rsidR="007C3A39">
        <w:t>Мунайлинский</w:t>
      </w:r>
      <w:proofErr w:type="spellEnd"/>
      <w:r w:rsidR="007C3A39">
        <w:t xml:space="preserve"> </w:t>
      </w:r>
      <w:r>
        <w:t>район</w:t>
      </w:r>
      <w:r w:rsidR="007C3A39">
        <w:t>ы.</w:t>
      </w:r>
    </w:p>
    <w:p w:rsidR="009307D8" w:rsidRPr="008E24FE" w:rsidRDefault="009307D8" w:rsidP="007C3A39">
      <w:pPr>
        <w:pStyle w:val="aa"/>
        <w:spacing w:after="120"/>
      </w:pPr>
      <w:bookmarkStart w:id="8" w:name="_Toc208579115"/>
      <w:bookmarkStart w:id="9" w:name="_Toc209015860"/>
      <w:bookmarkStart w:id="10" w:name="_Toc228200734"/>
      <w:r w:rsidRPr="008E24FE">
        <w:t>Краткое описание намечаемой деятельности</w:t>
      </w:r>
      <w:bookmarkEnd w:id="8"/>
      <w:bookmarkEnd w:id="9"/>
      <w:bookmarkEnd w:id="10"/>
    </w:p>
    <w:p w:rsidR="007F76F7" w:rsidRDefault="00F50641" w:rsidP="007F76F7">
      <w:pPr>
        <w:pStyle w:val="a4"/>
      </w:pPr>
      <w:bookmarkStart w:id="11" w:name="_Toc208579116"/>
      <w:bookmarkStart w:id="12" w:name="_Toc209015861"/>
      <w:bookmarkStart w:id="13" w:name="_Toc228200735"/>
      <w:r>
        <w:t xml:space="preserve">В настоящее время объем добычи на </w:t>
      </w:r>
      <w:proofErr w:type="gramStart"/>
      <w:r>
        <w:t>месторождени</w:t>
      </w:r>
      <w:r w:rsidR="00B82639">
        <w:t>и</w:t>
      </w:r>
      <w:proofErr w:type="gramEnd"/>
      <w:r w:rsidR="00B82639">
        <w:t xml:space="preserve"> составляет 15000 </w:t>
      </w:r>
      <w:proofErr w:type="spellStart"/>
      <w:r w:rsidR="00B82639">
        <w:t>барр</w:t>
      </w:r>
      <w:proofErr w:type="spellEnd"/>
      <w:r w:rsidR="00B82639">
        <w:t xml:space="preserve">. нефти.  Целью проекта являются модернизация системы </w:t>
      </w:r>
      <w:proofErr w:type="spellStart"/>
      <w:r w:rsidR="00B82639">
        <w:t>нефтесбора</w:t>
      </w:r>
      <w:proofErr w:type="spellEnd"/>
      <w:r w:rsidR="00B82639">
        <w:t xml:space="preserve"> месторождения Дунга для увеличения пропускной </w:t>
      </w:r>
      <w:r>
        <w:t>способности системы транспорта товарной нефти путем обустройства стального трубопровода товарной нефти  диам</w:t>
      </w:r>
      <w:r w:rsidR="00B82639">
        <w:t>етром Ду200 от ЦПС  Дунга до КУУН и обустройство необходимых для его безопасного</w:t>
      </w:r>
      <w:r>
        <w:t xml:space="preserve"> обслуживани</w:t>
      </w:r>
      <w:r w:rsidR="00B82639">
        <w:t xml:space="preserve">я </w:t>
      </w:r>
      <w:r w:rsidR="007F76F7">
        <w:t xml:space="preserve">коммуникаций  и  устройств. </w:t>
      </w:r>
    </w:p>
    <w:p w:rsidR="007F76F7" w:rsidRDefault="00B82639" w:rsidP="007F76F7">
      <w:pPr>
        <w:pStyle w:val="a4"/>
      </w:pPr>
      <w:r>
        <w:t xml:space="preserve">1. </w:t>
      </w:r>
      <w:r w:rsidR="00F50641">
        <w:t>О</w:t>
      </w:r>
      <w:r>
        <w:t xml:space="preserve">бщая  протяженность подземного нефтепровода около </w:t>
      </w:r>
      <w:r w:rsidR="00F50641">
        <w:t xml:space="preserve">18км. </w:t>
      </w:r>
    </w:p>
    <w:p w:rsidR="00F50641" w:rsidRDefault="00B82639" w:rsidP="007F76F7">
      <w:pPr>
        <w:pStyle w:val="a4"/>
      </w:pPr>
      <w:r>
        <w:t xml:space="preserve">2. </w:t>
      </w:r>
      <w:r w:rsidR="00F50641">
        <w:t>Технологичес</w:t>
      </w:r>
      <w:r>
        <w:t xml:space="preserve">кие  параметры  нефтепровода: </w:t>
      </w:r>
      <w:r w:rsidR="00F50641">
        <w:t xml:space="preserve">Начальная температура -  </w:t>
      </w:r>
      <w:r w:rsidR="007F76F7">
        <w:t xml:space="preserve">+45÷+50 °C. </w:t>
      </w:r>
      <w:r>
        <w:t xml:space="preserve"> Рабочее давление – </w:t>
      </w:r>
      <w:r w:rsidR="00F50641">
        <w:t xml:space="preserve">58 бар изб. </w:t>
      </w:r>
      <w:proofErr w:type="gramStart"/>
      <w:r w:rsidR="007F76F7">
        <w:t xml:space="preserve">Расход – 75-210 т/ч. </w:t>
      </w:r>
      <w:r w:rsidR="00F50641">
        <w:t>Плотност</w:t>
      </w:r>
      <w:r w:rsidR="007F76F7">
        <w:t>ь нефти при н.у. – 810 кг/м3.</w:t>
      </w:r>
      <w:proofErr w:type="gramEnd"/>
      <w:r w:rsidR="007F76F7">
        <w:t xml:space="preserve"> </w:t>
      </w:r>
      <w:r w:rsidR="00F50641">
        <w:t xml:space="preserve">Кинематическая вязкость </w:t>
      </w:r>
      <w:r w:rsidR="007F76F7">
        <w:t>при н.у. – 8,409*10(-6) м</w:t>
      </w:r>
      <w:proofErr w:type="gramStart"/>
      <w:r w:rsidR="007F76F7">
        <w:t>2</w:t>
      </w:r>
      <w:proofErr w:type="gramEnd"/>
      <w:r w:rsidR="007F76F7">
        <w:t xml:space="preserve">/с. </w:t>
      </w:r>
      <w:r w:rsidR="00F50641">
        <w:t xml:space="preserve">Температура застывания экспортной нефти составляет 21°C. </w:t>
      </w:r>
    </w:p>
    <w:p w:rsidR="007F76F7" w:rsidRDefault="00F50641" w:rsidP="007F76F7">
      <w:pPr>
        <w:pStyle w:val="a4"/>
      </w:pPr>
      <w:r>
        <w:t>3. Технически</w:t>
      </w:r>
      <w:r w:rsidR="007F76F7">
        <w:t xml:space="preserve">е требования к трубопроводу: </w:t>
      </w:r>
      <w:r>
        <w:t>Материал т</w:t>
      </w:r>
      <w:r w:rsidR="007F76F7">
        <w:t xml:space="preserve">рубопровода – сталь марки 09Г2С. </w:t>
      </w:r>
      <w:r>
        <w:t xml:space="preserve">Размер трубопровода – наружный диаметр - 219 мм, толщина стенки -12 мм </w:t>
      </w:r>
    </w:p>
    <w:p w:rsidR="007F76F7" w:rsidRPr="007F76F7" w:rsidRDefault="007F76F7" w:rsidP="007F76F7">
      <w:pPr>
        <w:pStyle w:val="a4"/>
      </w:pPr>
      <w:r w:rsidRPr="007F76F7">
        <w:t xml:space="preserve">Проектом предусмотрено 2 </w:t>
      </w:r>
      <w:proofErr w:type="gramStart"/>
      <w:r w:rsidRPr="007F76F7">
        <w:t>пусковых</w:t>
      </w:r>
      <w:proofErr w:type="gramEnd"/>
      <w:r w:rsidRPr="007F76F7">
        <w:t xml:space="preserve"> комплекса.</w:t>
      </w:r>
    </w:p>
    <w:p w:rsidR="007F76F7" w:rsidRPr="007F76F7" w:rsidRDefault="007F76F7" w:rsidP="007F76F7">
      <w:pPr>
        <w:pStyle w:val="a4"/>
      </w:pPr>
      <w:r w:rsidRPr="007F76F7">
        <w:t>В рамках 1 пускового комплекса проектом предусматривается:</w:t>
      </w:r>
    </w:p>
    <w:p w:rsidR="007F76F7" w:rsidRPr="004506C2" w:rsidRDefault="007F76F7" w:rsidP="004506C2">
      <w:pPr>
        <w:pStyle w:val="a4"/>
        <w:numPr>
          <w:ilvl w:val="0"/>
          <w:numId w:val="3"/>
        </w:numPr>
      </w:pPr>
      <w:r w:rsidRPr="004506C2">
        <w:t xml:space="preserve">Обустройство точек врезок в существующую систему транспорта товарной нефти ЦПС Дунга – КУУН с возможностью отключения/включения существующего подземного 6'' трубопровода товарной нефти; </w:t>
      </w:r>
    </w:p>
    <w:p w:rsidR="007F76F7" w:rsidRPr="004506C2" w:rsidRDefault="007F76F7" w:rsidP="004506C2">
      <w:pPr>
        <w:pStyle w:val="a4"/>
        <w:numPr>
          <w:ilvl w:val="0"/>
          <w:numId w:val="3"/>
        </w:numPr>
      </w:pPr>
      <w:proofErr w:type="gramStart"/>
      <w:r w:rsidRPr="004506C2">
        <w:lastRenderedPageBreak/>
        <w:t xml:space="preserve">Увеличение пропускной способности системы перекачки товарной нефти путем замены существующего 4'' аварийного отсечного клапана DUA-36-ESDV-82EV1 с пневматическим приводом на </w:t>
      </w:r>
      <w:proofErr w:type="spellStart"/>
      <w:r w:rsidRPr="004506C2">
        <w:t>выкиде</w:t>
      </w:r>
      <w:proofErr w:type="spellEnd"/>
      <w:r w:rsidRPr="004506C2">
        <w:t xml:space="preserve"> </w:t>
      </w:r>
      <w:proofErr w:type="spellStart"/>
      <w:r w:rsidRPr="004506C2">
        <w:t>эскпортных</w:t>
      </w:r>
      <w:proofErr w:type="spellEnd"/>
      <w:r w:rsidRPr="004506C2">
        <w:t xml:space="preserve"> насосов DUA-36-P-111A/B на новый отсечной клапан с пневматическим приводом диаметром 6'' DUCGF-ESDV-067-0057, с дополнительной установкой регулирующего клапана с ручным управлением DUCGF-HCV-067-0071;</w:t>
      </w:r>
      <w:proofErr w:type="gramEnd"/>
    </w:p>
    <w:p w:rsidR="007F76F7" w:rsidRPr="004506C2" w:rsidRDefault="007F76F7" w:rsidP="004506C2">
      <w:pPr>
        <w:pStyle w:val="a4"/>
        <w:numPr>
          <w:ilvl w:val="0"/>
          <w:numId w:val="3"/>
        </w:numPr>
      </w:pPr>
      <w:r w:rsidRPr="004506C2">
        <w:t>Проектирование стального подземного трубопровода товарной нефти диаметром 219x12 мм от ЦПС Дунга до КУУН с обустройством в одной из нижних точек ремонтного колодца PIT-1;</w:t>
      </w:r>
    </w:p>
    <w:p w:rsidR="007F76F7" w:rsidRPr="004506C2" w:rsidRDefault="007F76F7" w:rsidP="004506C2">
      <w:pPr>
        <w:pStyle w:val="a4"/>
        <w:numPr>
          <w:ilvl w:val="0"/>
          <w:numId w:val="3"/>
        </w:numPr>
      </w:pPr>
      <w:r w:rsidRPr="004506C2">
        <w:t>Проектирование закладных деталей для подключения камеры запуска скребка на территории ЦПС и приема скребка на территории КУУН на надземных участках нового нефтепровода;</w:t>
      </w:r>
    </w:p>
    <w:p w:rsidR="007F76F7" w:rsidRPr="004506C2" w:rsidRDefault="007F76F7" w:rsidP="004506C2">
      <w:pPr>
        <w:pStyle w:val="a4"/>
        <w:numPr>
          <w:ilvl w:val="0"/>
          <w:numId w:val="3"/>
        </w:numPr>
      </w:pPr>
      <w:r w:rsidRPr="004506C2">
        <w:t>Контроль давления и температуры по месту и в операторной в начале (на территории ЦПС) и в конце (на территории КУУН) товарного нефтепровода;</w:t>
      </w:r>
    </w:p>
    <w:p w:rsidR="007F76F7" w:rsidRPr="004506C2" w:rsidRDefault="007F76F7" w:rsidP="004506C2">
      <w:pPr>
        <w:pStyle w:val="a4"/>
        <w:numPr>
          <w:ilvl w:val="0"/>
          <w:numId w:val="3"/>
        </w:numPr>
      </w:pPr>
      <w:r w:rsidRPr="004506C2">
        <w:t xml:space="preserve">Замена существующего уровнемера DUF-50-LIT-8901 на дренажной емкости T-183, расположенной на территории КУУН, на бесконтактный уровнемер (радарного типа) DUOMA-LT-050-0010. </w:t>
      </w:r>
    </w:p>
    <w:p w:rsidR="007F76F7" w:rsidRPr="007F76F7" w:rsidRDefault="007F76F7" w:rsidP="007F76F7">
      <w:pPr>
        <w:pStyle w:val="a4"/>
      </w:pPr>
      <w:r w:rsidRPr="007F76F7">
        <w:t>В рамках 2 пускового комплекса проектом предусматривается:</w:t>
      </w:r>
    </w:p>
    <w:p w:rsidR="007F76F7" w:rsidRPr="004506C2" w:rsidRDefault="007F76F7" w:rsidP="004506C2">
      <w:pPr>
        <w:pStyle w:val="a4"/>
        <w:numPr>
          <w:ilvl w:val="0"/>
          <w:numId w:val="3"/>
        </w:numPr>
      </w:pPr>
      <w:r w:rsidRPr="004506C2">
        <w:t>Обустройство на ЦПС Дунга площадки камеры запуска скребка DUCGF-EP-038-0002 с подключением к новому товарному нефтепроводу Ду200 установленному в рамках 1 пускового комплекса;</w:t>
      </w:r>
    </w:p>
    <w:p w:rsidR="007F76F7" w:rsidRPr="004506C2" w:rsidRDefault="007F76F7" w:rsidP="004506C2">
      <w:pPr>
        <w:pStyle w:val="a4"/>
        <w:numPr>
          <w:ilvl w:val="0"/>
          <w:numId w:val="3"/>
        </w:numPr>
      </w:pPr>
      <w:r w:rsidRPr="004506C2">
        <w:t>Обустройство дренажной системы камеры запуска скребка и установка новой подземной дренажной емкости DUCGF-T-050-0034 объемом 5 м3;</w:t>
      </w:r>
    </w:p>
    <w:p w:rsidR="007F76F7" w:rsidRPr="004506C2" w:rsidRDefault="007F76F7" w:rsidP="004506C2">
      <w:pPr>
        <w:pStyle w:val="a4"/>
        <w:numPr>
          <w:ilvl w:val="0"/>
          <w:numId w:val="3"/>
        </w:numPr>
      </w:pPr>
      <w:r w:rsidRPr="004506C2">
        <w:t xml:space="preserve">Обустройство на КУУН площадки камеры приема скребка DUOMA-EP-038-0003 с подключением к новому товарному нефтепроводу Ду200 </w:t>
      </w:r>
      <w:proofErr w:type="gramStart"/>
      <w:r w:rsidRPr="004506C2">
        <w:t>запроектирован</w:t>
      </w:r>
      <w:proofErr w:type="gramEnd"/>
      <w:r w:rsidRPr="004506C2">
        <w:t xml:space="preserve"> в рамках 1 пускового комплекса;</w:t>
      </w:r>
    </w:p>
    <w:p w:rsidR="00F50641" w:rsidRDefault="007F76F7" w:rsidP="004506C2">
      <w:pPr>
        <w:pStyle w:val="a4"/>
        <w:numPr>
          <w:ilvl w:val="0"/>
          <w:numId w:val="3"/>
        </w:numPr>
      </w:pPr>
      <w:r w:rsidRPr="004506C2">
        <w:t>Обустройство дренажной системы камеры приема скребка и установка новой подземной дренажной емкости DUCGF-T-050-0034 объемом 40 м3.</w:t>
      </w:r>
    </w:p>
    <w:p w:rsidR="009307D8" w:rsidRPr="008E24FE" w:rsidRDefault="009307D8" w:rsidP="009307D8">
      <w:pPr>
        <w:pStyle w:val="aa"/>
        <w:spacing w:after="120"/>
      </w:pPr>
      <w:r w:rsidRPr="008E24FE">
        <w:t>Краткое описание существенных</w:t>
      </w:r>
      <w:r w:rsidRPr="00CD4B4E">
        <w:t xml:space="preserve"> воздействий </w:t>
      </w:r>
      <w:r>
        <w:t xml:space="preserve">намечаемой </w:t>
      </w:r>
      <w:r w:rsidRPr="008E24FE">
        <w:t>деятельности на окружающую среду, включая воздействия природные компоненты и иные объекты</w:t>
      </w:r>
      <w:bookmarkEnd w:id="11"/>
      <w:bookmarkEnd w:id="12"/>
      <w:bookmarkEnd w:id="13"/>
    </w:p>
    <w:p w:rsidR="009307D8" w:rsidRPr="008E24FE" w:rsidRDefault="009307D8" w:rsidP="009307D8">
      <w:pPr>
        <w:spacing w:line="360" w:lineRule="auto"/>
        <w:ind w:firstLine="737"/>
        <w:jc w:val="both"/>
        <w:rPr>
          <w:sz w:val="24"/>
        </w:rPr>
      </w:pPr>
      <w:r w:rsidRPr="008E24FE">
        <w:rPr>
          <w:sz w:val="24"/>
        </w:rPr>
        <w:t xml:space="preserve">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w:t>
      </w:r>
      <w:r w:rsidRPr="008E24FE">
        <w:rPr>
          <w:sz w:val="24"/>
        </w:rPr>
        <w:lastRenderedPageBreak/>
        <w:t xml:space="preserve">проживания и деятельности при осуществлении проектируемых работ оказывать не будет. В связи с тем, что территория месторождения расположена на значительном расстоянии от селитебных зон воздействия на биоразнообразие района (в том числе растительный и животный мир, генетические ресурсы, природные ареалы растений и диких животных, пути миграции диких животных, экосистемы) оказываться не будет. Не значительное воздействия будет оказываться на техногенные нарушенные земли, расположенные </w:t>
      </w:r>
      <w:proofErr w:type="spellStart"/>
      <w:r w:rsidRPr="008E24FE">
        <w:rPr>
          <w:sz w:val="24"/>
        </w:rPr>
        <w:t>смежно</w:t>
      </w:r>
      <w:proofErr w:type="spellEnd"/>
      <w:r w:rsidRPr="008E24FE">
        <w:rPr>
          <w:sz w:val="24"/>
        </w:rPr>
        <w:t xml:space="preserve"> с рассматриваемой территорией в результате химического воздействия предприятия на атмосферный воздух. Изъятие земель не предусматривается.</w:t>
      </w:r>
    </w:p>
    <w:p w:rsidR="009307D8" w:rsidRPr="008E24FE" w:rsidRDefault="009307D8" w:rsidP="009307D8">
      <w:pPr>
        <w:spacing w:line="360" w:lineRule="auto"/>
        <w:ind w:firstLine="737"/>
        <w:jc w:val="both"/>
        <w:rPr>
          <w:sz w:val="24"/>
        </w:rPr>
      </w:pPr>
      <w:r w:rsidRPr="008E24FE">
        <w:rPr>
          <w:sz w:val="24"/>
        </w:rPr>
        <w:t>В результате производственной деятельности воздействие на поверхностные и подземные воды оказываться не будет. Сброса сточных вод не предусмотрено.</w:t>
      </w:r>
    </w:p>
    <w:p w:rsidR="009307D8" w:rsidRPr="008E24FE" w:rsidRDefault="009307D8" w:rsidP="009307D8">
      <w:pPr>
        <w:spacing w:line="360" w:lineRule="auto"/>
        <w:ind w:firstLine="737"/>
        <w:jc w:val="both"/>
        <w:rPr>
          <w:sz w:val="24"/>
        </w:rPr>
      </w:pPr>
      <w:r w:rsidRPr="008E24FE">
        <w:rPr>
          <w:sz w:val="24"/>
        </w:rPr>
        <w:t xml:space="preserve">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w:t>
      </w:r>
      <w:proofErr w:type="gramStart"/>
      <w:r w:rsidRPr="008E24FE">
        <w:rPr>
          <w:sz w:val="24"/>
        </w:rPr>
        <w:t>Организация на предприятии мониторинга предельных выбросов и мониторинга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roofErr w:type="gramEnd"/>
    </w:p>
    <w:p w:rsidR="009307D8" w:rsidRPr="008E24FE" w:rsidRDefault="009307D8" w:rsidP="009307D8">
      <w:pPr>
        <w:spacing w:line="360" w:lineRule="auto"/>
        <w:ind w:firstLine="737"/>
        <w:jc w:val="both"/>
        <w:rPr>
          <w:sz w:val="24"/>
        </w:rPr>
      </w:pPr>
      <w:r w:rsidRPr="008E24FE">
        <w:rPr>
          <w:sz w:val="24"/>
        </w:rPr>
        <w:t>Объекты историко-культурного наследия (в том числе архитектурные и археологические) в районе намечаемых работ отсутствуют.</w:t>
      </w:r>
    </w:p>
    <w:p w:rsidR="009307D8" w:rsidRPr="00374DE2" w:rsidRDefault="009307D8" w:rsidP="009307D8">
      <w:pPr>
        <w:pStyle w:val="ad"/>
      </w:pPr>
      <w:proofErr w:type="gramStart"/>
      <w:r>
        <w:t>Р</w:t>
      </w:r>
      <w:r w:rsidRPr="00374DE2">
        <w:t xml:space="preserve">еализация проектных решений на </w:t>
      </w:r>
      <w:r>
        <w:t xml:space="preserve">месторождении </w:t>
      </w:r>
      <w:r w:rsidR="004506C2">
        <w:t>Дунга</w:t>
      </w:r>
      <w:r>
        <w:t xml:space="preserve"> </w:t>
      </w:r>
      <w:r w:rsidRPr="00374DE2">
        <w:t>при соблюдении норм технической и экологической безопасности, проведении технологических и природоохранных мероприятий не приведет к значительным изменениям в компонентах окружающей среды, и не повлияет на абиотические и биотические связи территории расположения месторождения.</w:t>
      </w:r>
      <w:proofErr w:type="gramEnd"/>
    </w:p>
    <w:p w:rsidR="009307D8" w:rsidRPr="00A3435F" w:rsidRDefault="009307D8" w:rsidP="009307D8">
      <w:pPr>
        <w:pStyle w:val="aa"/>
        <w:spacing w:after="120"/>
      </w:pPr>
      <w:bookmarkStart w:id="14" w:name="_Toc208579117"/>
      <w:bookmarkStart w:id="15" w:name="_Toc209015862"/>
      <w:bookmarkStart w:id="16" w:name="_Toc228200736"/>
      <w:r w:rsidRPr="0015295A">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bookmarkEnd w:id="14"/>
      <w:bookmarkEnd w:id="15"/>
      <w:bookmarkEnd w:id="16"/>
    </w:p>
    <w:p w:rsidR="009307D8" w:rsidRPr="008028BE" w:rsidRDefault="009307D8" w:rsidP="009307D8">
      <w:pPr>
        <w:pStyle w:val="ad"/>
      </w:pPr>
      <w:r w:rsidRPr="008028BE">
        <w:t>Качество атмосферного воздуха, как одного из компонентов природной среды, является важным аспектом при оценке воздействия предприятия на окружающую среду и здоровье населения. Обоснование данных о выбросах загрязняющих веществ в атмосферу от источников выделения выполнено с учетом действующих методик.</w:t>
      </w:r>
    </w:p>
    <w:p w:rsidR="009307D8" w:rsidRPr="00066D38" w:rsidRDefault="009307D8" w:rsidP="009307D8">
      <w:pPr>
        <w:spacing w:line="360" w:lineRule="auto"/>
        <w:ind w:firstLine="709"/>
        <w:jc w:val="both"/>
        <w:rPr>
          <w:sz w:val="24"/>
          <w:highlight w:val="yellow"/>
        </w:rPr>
      </w:pPr>
      <w:r w:rsidRPr="00982BE8">
        <w:rPr>
          <w:sz w:val="24"/>
        </w:rPr>
        <w:t xml:space="preserve">Основными источниками выбросов загрязняющих веществ в атмосферу будет являться технологическое оборудование, которое </w:t>
      </w:r>
      <w:r w:rsidR="0060364D">
        <w:rPr>
          <w:sz w:val="24"/>
        </w:rPr>
        <w:t>запроектировано,</w:t>
      </w:r>
      <w:r>
        <w:rPr>
          <w:sz w:val="24"/>
        </w:rPr>
        <w:t xml:space="preserve"> </w:t>
      </w:r>
      <w:proofErr w:type="gramStart"/>
      <w:r>
        <w:rPr>
          <w:sz w:val="24"/>
        </w:rPr>
        <w:t>согласно</w:t>
      </w:r>
      <w:proofErr w:type="gramEnd"/>
      <w:r>
        <w:rPr>
          <w:sz w:val="24"/>
        </w:rPr>
        <w:t xml:space="preserve"> проектных решений.</w:t>
      </w:r>
    </w:p>
    <w:p w:rsidR="00E6204C" w:rsidRDefault="0060364D" w:rsidP="0060364D">
      <w:pPr>
        <w:spacing w:line="360" w:lineRule="auto"/>
        <w:ind w:firstLine="709"/>
        <w:jc w:val="both"/>
        <w:rPr>
          <w:sz w:val="24"/>
        </w:rPr>
      </w:pPr>
      <w:r w:rsidRPr="0060364D">
        <w:rPr>
          <w:sz w:val="24"/>
        </w:rPr>
        <w:lastRenderedPageBreak/>
        <w:t xml:space="preserve">Общие нормативные объемы выбросов при строительстве составят: 1 пусковой комплекс – 51,207058 т/год, из них: железо оксиды (3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0,015358 т/год, марганец и его соединения (2 </w:t>
      </w:r>
      <w:proofErr w:type="spellStart"/>
      <w:r w:rsidRPr="0060364D">
        <w:rPr>
          <w:sz w:val="24"/>
        </w:rPr>
        <w:t>кл.оп</w:t>
      </w:r>
      <w:proofErr w:type="spellEnd"/>
      <w:r w:rsidRPr="0060364D">
        <w:rPr>
          <w:sz w:val="24"/>
        </w:rPr>
        <w:t xml:space="preserve">) – 0,001158 т/год, хром оксид (1 </w:t>
      </w:r>
      <w:proofErr w:type="spellStart"/>
      <w:r w:rsidRPr="0060364D">
        <w:rPr>
          <w:sz w:val="24"/>
        </w:rPr>
        <w:t>кл.оп</w:t>
      </w:r>
      <w:proofErr w:type="spellEnd"/>
      <w:r w:rsidRPr="0060364D">
        <w:rPr>
          <w:sz w:val="24"/>
        </w:rPr>
        <w:t xml:space="preserve">) - 0,000044 т/год, азота диоксид (2 </w:t>
      </w:r>
      <w:proofErr w:type="spellStart"/>
      <w:r w:rsidRPr="0060364D">
        <w:rPr>
          <w:sz w:val="24"/>
        </w:rPr>
        <w:t>кл.оп</w:t>
      </w:r>
      <w:proofErr w:type="spellEnd"/>
      <w:r w:rsidRPr="0060364D">
        <w:rPr>
          <w:sz w:val="24"/>
        </w:rPr>
        <w:t xml:space="preserve">) - 0,046642 т/год, азот оксид (3 </w:t>
      </w:r>
      <w:proofErr w:type="spellStart"/>
      <w:r w:rsidRPr="0060364D">
        <w:rPr>
          <w:sz w:val="24"/>
        </w:rPr>
        <w:t>кл.оп</w:t>
      </w:r>
      <w:proofErr w:type="spellEnd"/>
      <w:r w:rsidRPr="0060364D">
        <w:rPr>
          <w:sz w:val="24"/>
        </w:rPr>
        <w:t xml:space="preserve">) - 0,007209 т/год, углерод (сажа) (3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- 0,003869 т/год, сера диоксид (3 </w:t>
      </w:r>
      <w:proofErr w:type="spellStart"/>
      <w:r w:rsidRPr="0060364D">
        <w:rPr>
          <w:sz w:val="24"/>
        </w:rPr>
        <w:t>кл.оп</w:t>
      </w:r>
      <w:proofErr w:type="spellEnd"/>
      <w:r w:rsidRPr="0060364D">
        <w:rPr>
          <w:sz w:val="24"/>
        </w:rPr>
        <w:t xml:space="preserve">) - 0,005821 т/год, углерод оксид (4 </w:t>
      </w:r>
      <w:proofErr w:type="spellStart"/>
      <w:r w:rsidRPr="0060364D">
        <w:rPr>
          <w:sz w:val="24"/>
        </w:rPr>
        <w:t>кл.оп</w:t>
      </w:r>
      <w:proofErr w:type="spellEnd"/>
      <w:r w:rsidRPr="0060364D">
        <w:rPr>
          <w:sz w:val="24"/>
        </w:rPr>
        <w:t xml:space="preserve">) – 0,055964 т/год, фтористые соединения (2 </w:t>
      </w:r>
      <w:proofErr w:type="spellStart"/>
      <w:r w:rsidRPr="0060364D">
        <w:rPr>
          <w:sz w:val="24"/>
        </w:rPr>
        <w:t>кл.оп</w:t>
      </w:r>
      <w:proofErr w:type="spellEnd"/>
      <w:r w:rsidRPr="0060364D">
        <w:rPr>
          <w:sz w:val="24"/>
        </w:rPr>
        <w:t xml:space="preserve">) - 0,000944 т/год, фториды неорганические (2 </w:t>
      </w:r>
      <w:proofErr w:type="spellStart"/>
      <w:r w:rsidRPr="0060364D">
        <w:rPr>
          <w:sz w:val="24"/>
        </w:rPr>
        <w:t>кл.оп</w:t>
      </w:r>
      <w:proofErr w:type="spellEnd"/>
      <w:r w:rsidRPr="0060364D">
        <w:rPr>
          <w:sz w:val="24"/>
        </w:rPr>
        <w:t xml:space="preserve">) - 0,004154 т/год, </w:t>
      </w:r>
      <w:proofErr w:type="spellStart"/>
      <w:r w:rsidRPr="0060364D">
        <w:rPr>
          <w:sz w:val="24"/>
        </w:rPr>
        <w:t>диметилбензол</w:t>
      </w:r>
      <w:proofErr w:type="spellEnd"/>
      <w:r w:rsidRPr="0060364D">
        <w:rPr>
          <w:sz w:val="24"/>
        </w:rPr>
        <w:t xml:space="preserve"> (3 </w:t>
      </w:r>
      <w:proofErr w:type="spellStart"/>
      <w:r w:rsidRPr="0060364D">
        <w:rPr>
          <w:sz w:val="24"/>
        </w:rPr>
        <w:t>кл.оп</w:t>
      </w:r>
      <w:proofErr w:type="spellEnd"/>
      <w:r w:rsidRPr="0060364D">
        <w:rPr>
          <w:sz w:val="24"/>
        </w:rPr>
        <w:t xml:space="preserve">) - 0,081593 т/год, метилбензол (3 </w:t>
      </w:r>
      <w:proofErr w:type="spellStart"/>
      <w:r w:rsidRPr="0060364D">
        <w:rPr>
          <w:sz w:val="24"/>
        </w:rPr>
        <w:t>кл.оп</w:t>
      </w:r>
      <w:proofErr w:type="spellEnd"/>
      <w:r w:rsidRPr="0060364D">
        <w:rPr>
          <w:sz w:val="24"/>
        </w:rPr>
        <w:t xml:space="preserve">) – 0,117557 т/год, </w:t>
      </w:r>
      <w:proofErr w:type="spellStart"/>
      <w:r w:rsidRPr="0060364D">
        <w:rPr>
          <w:sz w:val="24"/>
        </w:rPr>
        <w:t>бензапирен</w:t>
      </w:r>
      <w:proofErr w:type="spellEnd"/>
      <w:r w:rsidRPr="0060364D">
        <w:rPr>
          <w:sz w:val="24"/>
        </w:rPr>
        <w:t xml:space="preserve"> (1 </w:t>
      </w:r>
      <w:proofErr w:type="spellStart"/>
      <w:r w:rsidRPr="0060364D">
        <w:rPr>
          <w:sz w:val="24"/>
        </w:rPr>
        <w:t>кл.оп</w:t>
      </w:r>
      <w:proofErr w:type="spellEnd"/>
      <w:r w:rsidRPr="0060364D">
        <w:rPr>
          <w:sz w:val="24"/>
        </w:rPr>
        <w:t xml:space="preserve">) - 0,00000007 т/год, </w:t>
      </w:r>
      <w:proofErr w:type="spellStart"/>
      <w:r w:rsidRPr="0060364D">
        <w:rPr>
          <w:sz w:val="24"/>
        </w:rPr>
        <w:t>бутилацетат</w:t>
      </w:r>
      <w:proofErr w:type="spellEnd"/>
      <w:r w:rsidRPr="0060364D">
        <w:rPr>
          <w:sz w:val="24"/>
        </w:rPr>
        <w:t xml:space="preserve"> (4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- 0,022753 т/год, формальдегид (2 </w:t>
      </w:r>
      <w:proofErr w:type="spellStart"/>
      <w:r w:rsidRPr="0060364D">
        <w:rPr>
          <w:sz w:val="24"/>
        </w:rPr>
        <w:t>кл.оп</w:t>
      </w:r>
      <w:proofErr w:type="spellEnd"/>
      <w:r w:rsidRPr="0060364D">
        <w:rPr>
          <w:sz w:val="24"/>
        </w:rPr>
        <w:t xml:space="preserve">) - 0,000774 т/год, ацетон (4 </w:t>
      </w:r>
      <w:proofErr w:type="spellStart"/>
      <w:r w:rsidRPr="0060364D">
        <w:rPr>
          <w:sz w:val="24"/>
        </w:rPr>
        <w:t>кл.оп</w:t>
      </w:r>
      <w:proofErr w:type="spellEnd"/>
      <w:r w:rsidRPr="0060364D">
        <w:rPr>
          <w:sz w:val="24"/>
        </w:rPr>
        <w:t xml:space="preserve">) - 0,049298 т/год, </w:t>
      </w:r>
      <w:proofErr w:type="spellStart"/>
      <w:r w:rsidRPr="0060364D">
        <w:rPr>
          <w:sz w:val="24"/>
        </w:rPr>
        <w:t>уайт-спирит</w:t>
      </w:r>
      <w:proofErr w:type="spellEnd"/>
      <w:r w:rsidRPr="0060364D">
        <w:rPr>
          <w:sz w:val="24"/>
        </w:rPr>
        <w:t xml:space="preserve"> - 0,050617 т/год, </w:t>
      </w:r>
      <w:proofErr w:type="spellStart"/>
      <w:r w:rsidRPr="0060364D">
        <w:rPr>
          <w:sz w:val="24"/>
        </w:rPr>
        <w:t>алканы</w:t>
      </w:r>
      <w:proofErr w:type="spellEnd"/>
      <w:r w:rsidRPr="0060364D">
        <w:rPr>
          <w:sz w:val="24"/>
        </w:rPr>
        <w:t xml:space="preserve"> С12-С19 (4 </w:t>
      </w:r>
      <w:proofErr w:type="spellStart"/>
      <w:r w:rsidRPr="0060364D">
        <w:rPr>
          <w:sz w:val="24"/>
        </w:rPr>
        <w:t>кл.оп</w:t>
      </w:r>
      <w:proofErr w:type="spellEnd"/>
      <w:r w:rsidRPr="0060364D">
        <w:rPr>
          <w:sz w:val="24"/>
        </w:rPr>
        <w:t xml:space="preserve">) - 0,022109 т/год, пыль неорганическая (3 </w:t>
      </w:r>
      <w:proofErr w:type="spellStart"/>
      <w:r w:rsidRPr="0060364D">
        <w:rPr>
          <w:sz w:val="24"/>
        </w:rPr>
        <w:t>кл.оп</w:t>
      </w:r>
      <w:proofErr w:type="spellEnd"/>
      <w:r w:rsidRPr="0060364D">
        <w:rPr>
          <w:sz w:val="24"/>
        </w:rPr>
        <w:t xml:space="preserve">) – 50,721194 т/год. </w:t>
      </w:r>
    </w:p>
    <w:p w:rsidR="0060364D" w:rsidRPr="0060364D" w:rsidRDefault="0060364D" w:rsidP="0060364D">
      <w:pPr>
        <w:spacing w:line="360" w:lineRule="auto"/>
        <w:ind w:firstLine="709"/>
        <w:jc w:val="both"/>
        <w:rPr>
          <w:sz w:val="24"/>
        </w:rPr>
      </w:pPr>
      <w:r w:rsidRPr="0060364D">
        <w:rPr>
          <w:sz w:val="24"/>
        </w:rPr>
        <w:t xml:space="preserve">2 пусковой комплекс – 1,294551 т/год, из них: железо оксиды (3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0,009259 т/год, марганец и его соединения (2 </w:t>
      </w:r>
      <w:proofErr w:type="spellStart"/>
      <w:r w:rsidRPr="0060364D">
        <w:rPr>
          <w:sz w:val="24"/>
        </w:rPr>
        <w:t>кл.оп</w:t>
      </w:r>
      <w:proofErr w:type="spellEnd"/>
      <w:r w:rsidRPr="0060364D">
        <w:rPr>
          <w:sz w:val="24"/>
        </w:rPr>
        <w:t xml:space="preserve">) – 0,000149 т/год, хром оксид (1 </w:t>
      </w:r>
      <w:proofErr w:type="spellStart"/>
      <w:r w:rsidRPr="0060364D">
        <w:rPr>
          <w:sz w:val="24"/>
        </w:rPr>
        <w:t>кл.оп</w:t>
      </w:r>
      <w:proofErr w:type="spellEnd"/>
      <w:r w:rsidRPr="0060364D">
        <w:rPr>
          <w:sz w:val="24"/>
        </w:rPr>
        <w:t xml:space="preserve">) - 0,000174 т/год, азота диоксид (2 </w:t>
      </w:r>
      <w:proofErr w:type="spellStart"/>
      <w:r w:rsidRPr="0060364D">
        <w:rPr>
          <w:sz w:val="24"/>
        </w:rPr>
        <w:t>кл.оп</w:t>
      </w:r>
      <w:proofErr w:type="spellEnd"/>
      <w:r w:rsidRPr="0060364D">
        <w:rPr>
          <w:sz w:val="24"/>
        </w:rPr>
        <w:t xml:space="preserve">) - 0,023968 т/год, азот оксид (3 </w:t>
      </w:r>
      <w:proofErr w:type="spellStart"/>
      <w:r w:rsidRPr="0060364D">
        <w:rPr>
          <w:sz w:val="24"/>
        </w:rPr>
        <w:t>кл.оп</w:t>
      </w:r>
      <w:proofErr w:type="spellEnd"/>
      <w:r w:rsidRPr="0060364D">
        <w:rPr>
          <w:sz w:val="24"/>
        </w:rPr>
        <w:t xml:space="preserve">) - 0,003602 т/год, углерод (сажа) (3 </w:t>
      </w:r>
      <w:proofErr w:type="spellStart"/>
      <w:r w:rsidRPr="0060364D">
        <w:rPr>
          <w:sz w:val="24"/>
        </w:rPr>
        <w:t>кл.оп</w:t>
      </w:r>
      <w:proofErr w:type="spellEnd"/>
      <w:r w:rsidRPr="0060364D">
        <w:rPr>
          <w:sz w:val="24"/>
        </w:rPr>
        <w:t xml:space="preserve">) - 0,001961 т/год, сера диоксид (3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- 0,016169 т/год, углерод оксид (4 </w:t>
      </w:r>
      <w:proofErr w:type="spellStart"/>
      <w:r w:rsidRPr="0060364D">
        <w:rPr>
          <w:sz w:val="24"/>
        </w:rPr>
        <w:t>кл.оп</w:t>
      </w:r>
      <w:proofErr w:type="spellEnd"/>
      <w:r w:rsidRPr="0060364D">
        <w:rPr>
          <w:sz w:val="24"/>
        </w:rPr>
        <w:t xml:space="preserve">) – 0,05112 т/год, фтористые соединения (2 </w:t>
      </w:r>
      <w:proofErr w:type="spellStart"/>
      <w:r w:rsidRPr="0060364D">
        <w:rPr>
          <w:sz w:val="24"/>
        </w:rPr>
        <w:t>кл.оп</w:t>
      </w:r>
      <w:proofErr w:type="spellEnd"/>
      <w:r w:rsidRPr="0060364D">
        <w:rPr>
          <w:sz w:val="24"/>
        </w:rPr>
        <w:t xml:space="preserve">) - 0,000121 т/год, фториды неорганические (2 </w:t>
      </w:r>
      <w:proofErr w:type="spellStart"/>
      <w:r w:rsidRPr="0060364D">
        <w:rPr>
          <w:sz w:val="24"/>
        </w:rPr>
        <w:t>кл.оп</w:t>
      </w:r>
      <w:proofErr w:type="spellEnd"/>
      <w:r w:rsidRPr="0060364D">
        <w:rPr>
          <w:sz w:val="24"/>
        </w:rPr>
        <w:t xml:space="preserve">) - 0,000533 т/год, </w:t>
      </w:r>
      <w:proofErr w:type="spellStart"/>
      <w:r w:rsidRPr="0060364D">
        <w:rPr>
          <w:sz w:val="24"/>
        </w:rPr>
        <w:t>диметилбензол</w:t>
      </w:r>
      <w:proofErr w:type="spellEnd"/>
      <w:r w:rsidRPr="0060364D">
        <w:rPr>
          <w:sz w:val="24"/>
        </w:rPr>
        <w:t xml:space="preserve"> (3 </w:t>
      </w:r>
      <w:proofErr w:type="spellStart"/>
      <w:r w:rsidRPr="0060364D">
        <w:rPr>
          <w:sz w:val="24"/>
        </w:rPr>
        <w:t>кл.оп</w:t>
      </w:r>
      <w:proofErr w:type="spellEnd"/>
      <w:r w:rsidRPr="0060364D">
        <w:rPr>
          <w:sz w:val="24"/>
        </w:rPr>
        <w:t xml:space="preserve">) - 0,021672 т/год, метилбензол (3 </w:t>
      </w:r>
      <w:proofErr w:type="spellStart"/>
      <w:r w:rsidRPr="0060364D">
        <w:rPr>
          <w:sz w:val="24"/>
        </w:rPr>
        <w:t>кл.оп</w:t>
      </w:r>
      <w:proofErr w:type="spellEnd"/>
      <w:r w:rsidRPr="0060364D">
        <w:rPr>
          <w:sz w:val="24"/>
        </w:rPr>
        <w:t xml:space="preserve">) – 0,045131 т/год, </w:t>
      </w:r>
      <w:proofErr w:type="spellStart"/>
      <w:r w:rsidRPr="0060364D">
        <w:rPr>
          <w:sz w:val="24"/>
        </w:rPr>
        <w:t>бензапирен</w:t>
      </w:r>
      <w:proofErr w:type="spellEnd"/>
      <w:r w:rsidRPr="0060364D">
        <w:rPr>
          <w:sz w:val="24"/>
        </w:rPr>
        <w:t xml:space="preserve"> (1 </w:t>
      </w:r>
      <w:proofErr w:type="spellStart"/>
      <w:r w:rsidRPr="0060364D">
        <w:rPr>
          <w:sz w:val="24"/>
        </w:rPr>
        <w:t>кл.оп</w:t>
      </w:r>
      <w:proofErr w:type="spellEnd"/>
      <w:r w:rsidRPr="0060364D">
        <w:rPr>
          <w:sz w:val="24"/>
        </w:rPr>
        <w:t xml:space="preserve">) - 0,00000005 т/год, </w:t>
      </w:r>
      <w:proofErr w:type="spellStart"/>
      <w:r w:rsidRPr="0060364D">
        <w:rPr>
          <w:sz w:val="24"/>
        </w:rPr>
        <w:t>бутилацетат</w:t>
      </w:r>
      <w:proofErr w:type="spellEnd"/>
      <w:r w:rsidRPr="0060364D">
        <w:rPr>
          <w:sz w:val="24"/>
        </w:rPr>
        <w:t xml:space="preserve"> (4 </w:t>
      </w:r>
      <w:proofErr w:type="spellStart"/>
      <w:r w:rsidRPr="0060364D">
        <w:rPr>
          <w:sz w:val="24"/>
        </w:rPr>
        <w:t>кл.оп</w:t>
      </w:r>
      <w:proofErr w:type="spellEnd"/>
      <w:r w:rsidRPr="0060364D">
        <w:rPr>
          <w:sz w:val="24"/>
        </w:rPr>
        <w:t xml:space="preserve">) - 0,008735 т/год, формальдегид (2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xml:space="preserve">) - 0,000272 т/год, ацетон (4 </w:t>
      </w:r>
      <w:proofErr w:type="spellStart"/>
      <w:r w:rsidRPr="0060364D">
        <w:rPr>
          <w:sz w:val="24"/>
        </w:rPr>
        <w:t>кл.оп</w:t>
      </w:r>
      <w:proofErr w:type="spellEnd"/>
      <w:r w:rsidRPr="0060364D">
        <w:rPr>
          <w:sz w:val="24"/>
        </w:rPr>
        <w:t xml:space="preserve">) - 0,018926 т/год, </w:t>
      </w:r>
      <w:proofErr w:type="spellStart"/>
      <w:r w:rsidRPr="0060364D">
        <w:rPr>
          <w:sz w:val="24"/>
        </w:rPr>
        <w:t>уайт-спирит</w:t>
      </w:r>
      <w:proofErr w:type="spellEnd"/>
      <w:r w:rsidRPr="0060364D">
        <w:rPr>
          <w:sz w:val="24"/>
        </w:rPr>
        <w:t xml:space="preserve"> - 0,004263 т/год, </w:t>
      </w:r>
      <w:proofErr w:type="spellStart"/>
      <w:r w:rsidRPr="0060364D">
        <w:rPr>
          <w:sz w:val="24"/>
        </w:rPr>
        <w:t>алканы</w:t>
      </w:r>
      <w:proofErr w:type="spellEnd"/>
      <w:r w:rsidRPr="0060364D">
        <w:rPr>
          <w:sz w:val="24"/>
        </w:rPr>
        <w:t xml:space="preserve"> С12-С19 (4 </w:t>
      </w:r>
      <w:proofErr w:type="spellStart"/>
      <w:r w:rsidRPr="0060364D">
        <w:rPr>
          <w:sz w:val="24"/>
        </w:rPr>
        <w:t>кл.оп</w:t>
      </w:r>
      <w:proofErr w:type="spellEnd"/>
      <w:r w:rsidRPr="0060364D">
        <w:rPr>
          <w:sz w:val="24"/>
        </w:rPr>
        <w:t xml:space="preserve">) - 0,007231 т/год, пыль неорганическая (3 </w:t>
      </w:r>
      <w:proofErr w:type="spellStart"/>
      <w:r w:rsidRPr="0060364D">
        <w:rPr>
          <w:sz w:val="24"/>
        </w:rPr>
        <w:t>кл.оп</w:t>
      </w:r>
      <w:proofErr w:type="spellEnd"/>
      <w:r w:rsidRPr="0060364D">
        <w:rPr>
          <w:sz w:val="24"/>
        </w:rPr>
        <w:t xml:space="preserve">) – 1,081265 т/год. </w:t>
      </w:r>
    </w:p>
    <w:p w:rsidR="0060364D" w:rsidRPr="0060364D" w:rsidRDefault="0060364D" w:rsidP="0060364D">
      <w:pPr>
        <w:spacing w:line="360" w:lineRule="auto"/>
        <w:ind w:firstLine="709"/>
        <w:jc w:val="both"/>
        <w:rPr>
          <w:sz w:val="24"/>
        </w:rPr>
      </w:pPr>
      <w:r w:rsidRPr="0060364D">
        <w:rPr>
          <w:sz w:val="24"/>
        </w:rPr>
        <w:t xml:space="preserve">Общие нормативные объемы выбросов при эксплуатации составят: 3,326558 т/год, из них: смесь углеводородов предельных С1-С5 – 0,277660 т/год, смесь углеводородов предельных С6-С10 – 1,699674 т/год, </w:t>
      </w:r>
      <w:proofErr w:type="spellStart"/>
      <w:r w:rsidRPr="0060364D">
        <w:rPr>
          <w:sz w:val="24"/>
        </w:rPr>
        <w:t>алканы</w:t>
      </w:r>
      <w:proofErr w:type="spellEnd"/>
      <w:r w:rsidRPr="0060364D">
        <w:rPr>
          <w:sz w:val="24"/>
        </w:rPr>
        <w:t xml:space="preserve"> С12-С19 (4 </w:t>
      </w:r>
      <w:proofErr w:type="spellStart"/>
      <w:r w:rsidRPr="0060364D">
        <w:rPr>
          <w:sz w:val="24"/>
        </w:rPr>
        <w:t>кл</w:t>
      </w:r>
      <w:proofErr w:type="gramStart"/>
      <w:r w:rsidRPr="0060364D">
        <w:rPr>
          <w:sz w:val="24"/>
        </w:rPr>
        <w:t>.о</w:t>
      </w:r>
      <w:proofErr w:type="gramEnd"/>
      <w:r w:rsidRPr="0060364D">
        <w:rPr>
          <w:sz w:val="24"/>
        </w:rPr>
        <w:t>п</w:t>
      </w:r>
      <w:proofErr w:type="spellEnd"/>
      <w:r w:rsidRPr="0060364D">
        <w:rPr>
          <w:sz w:val="24"/>
        </w:rPr>
        <w:t>) – 1,349224 т/год.</w:t>
      </w:r>
    </w:p>
    <w:p w:rsidR="0011750F" w:rsidRDefault="0011750F" w:rsidP="0060364D">
      <w:pPr>
        <w:spacing w:line="360" w:lineRule="auto"/>
        <w:ind w:firstLine="709"/>
        <w:jc w:val="both"/>
        <w:rPr>
          <w:sz w:val="24"/>
        </w:rPr>
      </w:pPr>
      <w:bookmarkStart w:id="17" w:name="_Toc208579118"/>
      <w:bookmarkStart w:id="18" w:name="_Toc209015863"/>
      <w:bookmarkStart w:id="19" w:name="_Toc228200737"/>
    </w:p>
    <w:p w:rsidR="0060364D" w:rsidRPr="0060364D" w:rsidRDefault="0060364D" w:rsidP="0060364D">
      <w:pPr>
        <w:spacing w:line="360" w:lineRule="auto"/>
        <w:ind w:firstLine="709"/>
        <w:jc w:val="both"/>
        <w:rPr>
          <w:sz w:val="24"/>
        </w:rPr>
      </w:pPr>
      <w:r w:rsidRPr="0060364D">
        <w:rPr>
          <w:sz w:val="24"/>
        </w:rPr>
        <w:t>Количество отходов за период строительных работ составит: 1 пусковой комплекс всего 16,7139 тонн, из них: опасные отходы – 1,3359 т, неопасные отходы – 15,378 т; 2 пусковой комплекс всего 4,93325 т, из них: опасные отходы – 0,25365 т, неопасные отходы – 4,6796 т.</w:t>
      </w:r>
    </w:p>
    <w:p w:rsidR="0060364D" w:rsidRPr="0060364D" w:rsidRDefault="0060364D" w:rsidP="0060364D">
      <w:pPr>
        <w:spacing w:line="360" w:lineRule="auto"/>
        <w:ind w:firstLine="709"/>
        <w:jc w:val="both"/>
        <w:rPr>
          <w:sz w:val="24"/>
        </w:rPr>
      </w:pPr>
      <w:r w:rsidRPr="0060364D">
        <w:rPr>
          <w:sz w:val="24"/>
        </w:rPr>
        <w:t>При строительных работах возможно образование следующих видов отходов:</w:t>
      </w:r>
    </w:p>
    <w:p w:rsidR="00E6204C" w:rsidRDefault="0060364D" w:rsidP="0060364D">
      <w:pPr>
        <w:spacing w:line="360" w:lineRule="auto"/>
        <w:ind w:firstLine="709"/>
        <w:jc w:val="both"/>
        <w:rPr>
          <w:sz w:val="24"/>
        </w:rPr>
      </w:pPr>
      <w:r w:rsidRPr="0060364D">
        <w:rPr>
          <w:sz w:val="24"/>
        </w:rPr>
        <w:t xml:space="preserve">Черные металлы (металлолом) код отхода 16 01 17 – отходы при монтаже оборудования. Металлолом временно хранится на строительной площадке и вывозится подрядной организацией на переработку (переплавку) на договорной основе. Объем образования – 1 пусковой комплекс – 1,7091 т, 2 пусковой комплекс – 0,6022 т. Смешанные отходы строительства и сноса (строительные отходы) код отхода 17 09 04 - </w:t>
      </w:r>
      <w:r w:rsidRPr="0060364D">
        <w:rPr>
          <w:sz w:val="24"/>
        </w:rPr>
        <w:lastRenderedPageBreak/>
        <w:t xml:space="preserve">отходы, образующиеся при строительных работах. Строительные отходы по мере накопления вывозятся подрядной организацией на договорной основе для последующего захоронения. Объем образования – 1 пусковой комплекс – 10,0875 т, 2 пусковой комплекс – 3,3625 т. Отходы сварки (огарки сварочных электродов) код отхода 12 01 13 – образуются при сварочных работах, временно хранятся на строительной площадке и вывозятся подрядной организацией на переплавку на договорной основе. Объем образования – 1 пусковой комплекс – 0,0189 т, 2 пусковой комплекс – 0,0024 т. Синтетические моторные, трансмиссионные и смазочные масла (отработанные масла) код отхода 13 02 06* образуются при эксплуатации строительной техники. Отработанные масла собираются в специальные герметичные емкости и вывозятся подрядной организацией на переработку. Объем образования – 1 пусковой комплекс – 0,81025 т, 2 пусковой комплекс – 0,0523 т.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(обтирочный материал, в том числе промасленная ветошь) код отхода 15 02 </w:t>
      </w:r>
      <w:proofErr w:type="spellStart"/>
      <w:r w:rsidRPr="0060364D">
        <w:rPr>
          <w:sz w:val="24"/>
        </w:rPr>
        <w:t>02</w:t>
      </w:r>
      <w:proofErr w:type="spellEnd"/>
      <w:r w:rsidRPr="0060364D">
        <w:rPr>
          <w:sz w:val="24"/>
        </w:rPr>
        <w:t xml:space="preserve">* - образуются при эксплуатации строительной техники. Собираются в контейнеры и по мере накопления вывозятся подрядной организацией для утилизации на договорной основе. Объем образования – 1 пусковой комплекс – 0,04445 т, 2 пусковой комплекс – 0,03175 т. Упаковка, содержащая остатки или загрязненная опасными веществами (жестяная тара лакокрасочных материалов) код отхода 15 01 10* образуется при лакокрасочных работах. Временное хранение с последующим вывозом на переплавку, согласно договору. Объем образования – 1 пусковой комплекс – 0,4812 т, 2 пусковой комплекс – 0,1696 т. Смешанные коммунальные отходы (ТБО) код отхода 20 03 01 по мере накопления вывозятся по договору на захоронение на </w:t>
      </w:r>
      <w:proofErr w:type="gramStart"/>
      <w:r w:rsidRPr="0060364D">
        <w:rPr>
          <w:sz w:val="24"/>
        </w:rPr>
        <w:t>полигонах</w:t>
      </w:r>
      <w:proofErr w:type="gramEnd"/>
      <w:r w:rsidRPr="0060364D">
        <w:rPr>
          <w:sz w:val="24"/>
        </w:rPr>
        <w:t xml:space="preserve"> ТБО региона. Объем образования – 1 пусковой комплекс – 3,5625 т, 2 пусковой комплекс – 0,7125 т. </w:t>
      </w:r>
    </w:p>
    <w:p w:rsidR="00E6204C" w:rsidRDefault="0060364D" w:rsidP="0060364D">
      <w:pPr>
        <w:spacing w:line="360" w:lineRule="auto"/>
        <w:ind w:firstLine="709"/>
        <w:jc w:val="both"/>
        <w:rPr>
          <w:sz w:val="24"/>
        </w:rPr>
      </w:pPr>
      <w:r w:rsidRPr="0060364D">
        <w:rPr>
          <w:sz w:val="24"/>
        </w:rPr>
        <w:t>В виду специфики проектируемых работ при эксплуатации образование отходов производства и потребления не предполагается.</w:t>
      </w:r>
      <w:r w:rsidR="00E6204C">
        <w:rPr>
          <w:sz w:val="24"/>
        </w:rPr>
        <w:t xml:space="preserve"> </w:t>
      </w:r>
    </w:p>
    <w:p w:rsidR="0011750F" w:rsidRDefault="0011750F" w:rsidP="0011750F">
      <w:pPr>
        <w:pStyle w:val="a0"/>
      </w:pPr>
    </w:p>
    <w:p w:rsidR="0011750F" w:rsidRPr="0011750F" w:rsidRDefault="0011750F" w:rsidP="0011750F">
      <w:pPr>
        <w:spacing w:line="360" w:lineRule="auto"/>
        <w:ind w:firstLine="709"/>
        <w:jc w:val="both"/>
        <w:rPr>
          <w:sz w:val="24"/>
        </w:rPr>
      </w:pPr>
      <w:r w:rsidRPr="0011750F">
        <w:rPr>
          <w:sz w:val="24"/>
        </w:rPr>
        <w:t xml:space="preserve">Источниками водоснабжения на </w:t>
      </w:r>
      <w:proofErr w:type="gramStart"/>
      <w:r w:rsidRPr="0011750F">
        <w:rPr>
          <w:sz w:val="24"/>
        </w:rPr>
        <w:t>месторождении</w:t>
      </w:r>
      <w:proofErr w:type="gramEnd"/>
      <w:r w:rsidRPr="0011750F">
        <w:rPr>
          <w:sz w:val="24"/>
        </w:rPr>
        <w:t xml:space="preserve"> Дунга являются: для питьевых целей: привозная бутилированная питьевая вода; пресная вода, привозимая автотранспортом из системы водоснабжения ТОО «МАЭК – </w:t>
      </w:r>
      <w:proofErr w:type="spellStart"/>
      <w:r w:rsidRPr="0011750F">
        <w:rPr>
          <w:sz w:val="24"/>
        </w:rPr>
        <w:t>Казатомпром</w:t>
      </w:r>
      <w:proofErr w:type="spellEnd"/>
      <w:r w:rsidRPr="0011750F">
        <w:rPr>
          <w:sz w:val="24"/>
        </w:rPr>
        <w:t xml:space="preserve">». </w:t>
      </w:r>
    </w:p>
    <w:p w:rsidR="0011750F" w:rsidRDefault="0011750F" w:rsidP="0011750F">
      <w:pPr>
        <w:spacing w:line="360" w:lineRule="auto"/>
        <w:ind w:firstLine="709"/>
        <w:jc w:val="both"/>
        <w:rPr>
          <w:sz w:val="24"/>
        </w:rPr>
      </w:pPr>
      <w:r w:rsidRPr="0011750F">
        <w:rPr>
          <w:sz w:val="24"/>
        </w:rPr>
        <w:t>Временное водоснабжение строительства и питьевая вода (бутилированная) предусматривается доставкой автотранспортом и автоцистернами, за счет собственных средств Подрядчика, противопожарное водоснабжение – не требуется. Ликвидация возможных пожаров будет осуществляться собственной противопожарной службой месторождения.</w:t>
      </w:r>
    </w:p>
    <w:p w:rsidR="0011750F" w:rsidRDefault="0011750F" w:rsidP="0011750F">
      <w:pPr>
        <w:pStyle w:val="a0"/>
      </w:pPr>
    </w:p>
    <w:p w:rsidR="0011750F" w:rsidRPr="0011750F" w:rsidRDefault="0011750F" w:rsidP="0011750F">
      <w:pPr>
        <w:spacing w:line="360" w:lineRule="auto"/>
        <w:ind w:firstLine="709"/>
        <w:jc w:val="both"/>
        <w:rPr>
          <w:sz w:val="24"/>
        </w:rPr>
      </w:pPr>
      <w:r w:rsidRPr="0011750F">
        <w:rPr>
          <w:sz w:val="24"/>
        </w:rPr>
        <w:lastRenderedPageBreak/>
        <w:t>Строительство. Расчетные объемы водопотребления при строительных работах составят 1962,2 м3, из них: на питьевые нужды – 34,7 м3, на хозяйственно-бытовые нужды – 1927,5 м3. Вода техническая – 4549,5 м3.</w:t>
      </w:r>
    </w:p>
    <w:p w:rsidR="0011750F" w:rsidRPr="0011750F" w:rsidRDefault="0011750F" w:rsidP="0011750F">
      <w:pPr>
        <w:spacing w:line="360" w:lineRule="auto"/>
        <w:ind w:firstLine="709"/>
        <w:jc w:val="both"/>
        <w:rPr>
          <w:sz w:val="24"/>
        </w:rPr>
      </w:pPr>
      <w:r w:rsidRPr="0011750F">
        <w:rPr>
          <w:sz w:val="24"/>
        </w:rPr>
        <w:t>Эксплуатация. Месторождение Дунга является месторождением с развитой инфраструктурой. Эксплуатация проектируемых объектов будет осуществляться действующим персоналом компании, в связи с этим централизованные системы питьевого и хозяйственно-бытового водоснабжения в рамках данного проекта не предусматриваются.</w:t>
      </w:r>
    </w:p>
    <w:p w:rsidR="009307D8" w:rsidRPr="0060364D" w:rsidRDefault="009307D8" w:rsidP="00033F8C">
      <w:pPr>
        <w:pStyle w:val="aa"/>
        <w:spacing w:after="120"/>
      </w:pPr>
      <w:r w:rsidRPr="0060364D">
        <w:t>Информации о вероятности возникновения аварий и опасных природных явлений;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 включая оповещение населения</w:t>
      </w:r>
      <w:bookmarkEnd w:id="17"/>
      <w:bookmarkEnd w:id="18"/>
      <w:bookmarkEnd w:id="19"/>
    </w:p>
    <w:p w:rsidR="00033F8C" w:rsidRPr="00033F8C" w:rsidRDefault="00033F8C" w:rsidP="00033F8C">
      <w:pPr>
        <w:spacing w:line="360" w:lineRule="auto"/>
        <w:ind w:firstLine="737"/>
        <w:jc w:val="both"/>
        <w:rPr>
          <w:sz w:val="24"/>
        </w:rPr>
      </w:pPr>
      <w:r w:rsidRPr="00033F8C">
        <w:rPr>
          <w:sz w:val="24"/>
        </w:rPr>
        <w:t>Принятые в данном проекте решения обеспечивают оптимальное решение стоящих задач, безопасность производства и персонала, выполнение требований норм по промышленной безопасности и охране окружающей среды.</w:t>
      </w:r>
    </w:p>
    <w:p w:rsidR="00033F8C" w:rsidRPr="00033F8C" w:rsidRDefault="00033F8C" w:rsidP="00033F8C">
      <w:pPr>
        <w:spacing w:line="360" w:lineRule="auto"/>
        <w:ind w:firstLine="737"/>
        <w:jc w:val="both"/>
        <w:rPr>
          <w:sz w:val="24"/>
        </w:rPr>
      </w:pPr>
      <w:r w:rsidRPr="00033F8C">
        <w:rPr>
          <w:sz w:val="24"/>
        </w:rPr>
        <w:t>Вероятность возникновения крупномасштабной аварии исключается мероприятиями по локализации (ликвидации) аварий, проводимыми эксплуатационным персоналом, а так же техническими решениями, способствующими реализации мероприятий повышения безопасных условий труда и предотвращению аварийных ситуаций.</w:t>
      </w:r>
    </w:p>
    <w:p w:rsidR="009307D8" w:rsidRPr="008E24FE" w:rsidRDefault="009307D8" w:rsidP="009307D8">
      <w:pPr>
        <w:spacing w:line="360" w:lineRule="auto"/>
        <w:ind w:firstLine="737"/>
        <w:jc w:val="both"/>
        <w:rPr>
          <w:sz w:val="24"/>
        </w:rPr>
      </w:pPr>
      <w:r w:rsidRPr="008E24FE">
        <w:rPr>
          <w:sz w:val="24"/>
        </w:rPr>
        <w:t>Степень риска для каждого объекта нефтепромысла зависит от природных, так и техногенных факторов. Естественные факторы, представляющие угрозу проектируемым сооружениям, характеризуются очень низкими вероятностями. Строгое исполнение правил эксплуатации сооружений позволяют своевременно решать все проблемы, вызываемые естественными процессами.</w:t>
      </w:r>
    </w:p>
    <w:p w:rsidR="009307D8" w:rsidRPr="008E24FE" w:rsidRDefault="009307D8" w:rsidP="009307D8">
      <w:pPr>
        <w:spacing w:line="360" w:lineRule="auto"/>
        <w:ind w:firstLine="737"/>
        <w:jc w:val="both"/>
        <w:rPr>
          <w:sz w:val="24"/>
        </w:rPr>
      </w:pPr>
      <w:r w:rsidRPr="008E24FE">
        <w:rPr>
          <w:sz w:val="24"/>
        </w:rPr>
        <w:t>Вероятность таких природных катаклизмов и техногенных воздействий, как падение метеорита, наводнение, смерч, ураган, оседание грунта, авиакатастрофа и террористический акт составляет 1,0*10</w:t>
      </w:r>
      <w:r w:rsidRPr="008E24FE">
        <w:rPr>
          <w:sz w:val="24"/>
          <w:vertAlign w:val="superscript"/>
        </w:rPr>
        <w:t>-8</w:t>
      </w:r>
      <w:r w:rsidRPr="008E24FE">
        <w:rPr>
          <w:sz w:val="24"/>
        </w:rPr>
        <w:t xml:space="preserve"> (1/год). </w:t>
      </w:r>
    </w:p>
    <w:p w:rsidR="009307D8" w:rsidRPr="008E24FE" w:rsidRDefault="009307D8" w:rsidP="009307D8">
      <w:pPr>
        <w:spacing w:line="360" w:lineRule="auto"/>
        <w:ind w:firstLine="737"/>
        <w:jc w:val="both"/>
        <w:rPr>
          <w:sz w:val="24"/>
        </w:rPr>
      </w:pPr>
      <w:r w:rsidRPr="008E24FE">
        <w:rPr>
          <w:sz w:val="24"/>
        </w:rPr>
        <w:t xml:space="preserve">Главной потенциальной опасностью, фактором риска эксплуатации открытых технологических установок и трубопроводов является наличие вероятности возникновения аварии с выбросом горючих газов или конденсатов в окружающую среду, сопровождающейся большой площадью рассеивания токсичных веществ, возможно, с последующим воспламенением либо взрывным превращением образовавшейся </w:t>
      </w:r>
      <w:proofErr w:type="spellStart"/>
      <w:r w:rsidRPr="008E24FE">
        <w:rPr>
          <w:sz w:val="24"/>
        </w:rPr>
        <w:t>газовоздушной</w:t>
      </w:r>
      <w:proofErr w:type="spellEnd"/>
      <w:r w:rsidRPr="008E24FE">
        <w:rPr>
          <w:sz w:val="24"/>
        </w:rPr>
        <w:t xml:space="preserve"> смеси и формированием поля поражающих факторов на прилегающей территории. </w:t>
      </w:r>
      <w:proofErr w:type="gramStart"/>
      <w:r w:rsidRPr="008E24FE">
        <w:rPr>
          <w:sz w:val="24"/>
        </w:rPr>
        <w:t xml:space="preserve">В аварийных ситуациях на технологическом оборудовании возможны </w:t>
      </w:r>
      <w:r w:rsidRPr="008E24FE">
        <w:rPr>
          <w:sz w:val="24"/>
        </w:rPr>
        <w:lastRenderedPageBreak/>
        <w:t xml:space="preserve">следующие опасные события, влияющие на обслуживающий персонал и оборудование при разгерметизации технологических аппаратов и трубопроводов: образование токсичного облака; взрыв топливно-воздушной смеси (ТВС); пожар разлития (бассейновый пожар); </w:t>
      </w:r>
      <w:proofErr w:type="spellStart"/>
      <w:r w:rsidRPr="008E24FE">
        <w:rPr>
          <w:sz w:val="24"/>
        </w:rPr>
        <w:t>струевое</w:t>
      </w:r>
      <w:proofErr w:type="spellEnd"/>
      <w:r w:rsidRPr="008E24FE">
        <w:rPr>
          <w:sz w:val="24"/>
        </w:rPr>
        <w:t xml:space="preserve"> горение (факельный пожар); взрыв с образованием «огненного шара».</w:t>
      </w:r>
      <w:proofErr w:type="gramEnd"/>
    </w:p>
    <w:p w:rsidR="009307D8" w:rsidRPr="008E24FE" w:rsidRDefault="009307D8" w:rsidP="009307D8">
      <w:pPr>
        <w:spacing w:line="360" w:lineRule="auto"/>
        <w:ind w:firstLine="737"/>
        <w:jc w:val="both"/>
        <w:rPr>
          <w:sz w:val="24"/>
        </w:rPr>
      </w:pPr>
      <w:proofErr w:type="gramStart"/>
      <w:r w:rsidRPr="008E24FE">
        <w:rPr>
          <w:sz w:val="24"/>
        </w:rPr>
        <w:t xml:space="preserve">Основными поражающим факторами максимальных гипотетических аварий (МГА) являются: токсическое поражение; воздушная волна, возникающая при взрывах ТВС; поражение открытым пламенем и тепловое излучение при </w:t>
      </w:r>
      <w:proofErr w:type="spellStart"/>
      <w:r w:rsidRPr="008E24FE">
        <w:rPr>
          <w:sz w:val="24"/>
        </w:rPr>
        <w:t>струевом</w:t>
      </w:r>
      <w:proofErr w:type="spellEnd"/>
      <w:r w:rsidRPr="008E24FE">
        <w:rPr>
          <w:sz w:val="24"/>
        </w:rPr>
        <w:t xml:space="preserve"> горении (факельный пожар); пожар разлития (бассейновый пожар) и «огненном шаре».</w:t>
      </w:r>
      <w:proofErr w:type="gramEnd"/>
    </w:p>
    <w:p w:rsidR="009307D8" w:rsidRPr="008E24FE" w:rsidRDefault="009307D8" w:rsidP="009307D8">
      <w:pPr>
        <w:spacing w:line="360" w:lineRule="auto"/>
        <w:ind w:firstLine="737"/>
        <w:jc w:val="both"/>
        <w:rPr>
          <w:sz w:val="24"/>
        </w:rPr>
      </w:pPr>
      <w:proofErr w:type="gramStart"/>
      <w:r w:rsidRPr="008E24FE">
        <w:rPr>
          <w:sz w:val="24"/>
        </w:rPr>
        <w:t>По каждой возможной аварии техническая служба под руководством главного инженера организации принимает меры, обеспечивающие ликвидацию ее в кратчайший срок, для чего: составляется план работ по ликвидации аварий с указанием сроков и ответственных исполнителей; назначается ответственный за выполнение плана работы; контроль за ликвидацией аварии и необходимая помощь в выполнении намеченного плана работ осуществляется инженерно-технической службой.</w:t>
      </w:r>
      <w:proofErr w:type="gramEnd"/>
    </w:p>
    <w:p w:rsidR="009307D8" w:rsidRPr="008E24FE" w:rsidRDefault="009307D8" w:rsidP="009307D8">
      <w:pPr>
        <w:spacing w:line="360" w:lineRule="auto"/>
        <w:ind w:firstLine="737"/>
        <w:jc w:val="both"/>
        <w:rPr>
          <w:sz w:val="24"/>
        </w:rPr>
      </w:pPr>
      <w:r w:rsidRPr="008E24FE">
        <w:rPr>
          <w:sz w:val="24"/>
        </w:rPr>
        <w:t>Мероприятия по снижению экологического риска могут иметь технический или организационный характер. В выборе типа меры решающее значение имеет общая оценка действенности мер, влияющих на риск.</w:t>
      </w:r>
    </w:p>
    <w:p w:rsidR="009307D8" w:rsidRPr="008E24FE" w:rsidRDefault="009307D8" w:rsidP="009307D8">
      <w:pPr>
        <w:spacing w:line="360" w:lineRule="auto"/>
        <w:ind w:firstLine="737"/>
        <w:jc w:val="both"/>
        <w:rPr>
          <w:sz w:val="24"/>
        </w:rPr>
      </w:pPr>
      <w:r w:rsidRPr="008E24FE">
        <w:rPr>
          <w:sz w:val="24"/>
        </w:rPr>
        <w:t>При разработке мер по уменьшению риска необходимо учитывать, что, вследствие возможной ограниченности ресурсов, в первую очередь должны разрабатываться простейшие и связанные с наименьшими затратами рекомендации, а также меры на перспективу.</w:t>
      </w:r>
    </w:p>
    <w:p w:rsidR="009307D8" w:rsidRPr="008E24FE" w:rsidRDefault="009307D8" w:rsidP="009307D8">
      <w:pPr>
        <w:spacing w:line="360" w:lineRule="auto"/>
        <w:ind w:firstLine="737"/>
        <w:jc w:val="both"/>
        <w:rPr>
          <w:sz w:val="24"/>
        </w:rPr>
      </w:pPr>
      <w:r w:rsidRPr="008E24FE">
        <w:rPr>
          <w:sz w:val="24"/>
        </w:rPr>
        <w:t xml:space="preserve">Во всех случаях, где это возможно, меры уменьшения вероятности аварий должны иметь приоритет над мерами уменьшения последствий аварий. </w:t>
      </w:r>
      <w:proofErr w:type="gramStart"/>
      <w:r w:rsidRPr="008E24FE">
        <w:rPr>
          <w:sz w:val="24"/>
        </w:rPr>
        <w:t>Это означает, что выбор технических и организационных мер для уменьшения опасности имеет следующие приоритеты: меры уменьшения вероятности возникновения аварийной ситуации, включающие: меры уменьшения вероятности возникновения неполадки (отказа); меры уменьшения вероятности перерастания неполадки в аварийную ситуацию; меры уменьшения тяжести последствий аварии, которые в свою очередь имеют следующие приоритеты: меры, предусматриваемые при проектировании опасного объекта (например, выбор несущих конструкций);</w:t>
      </w:r>
      <w:proofErr w:type="gramEnd"/>
      <w:r w:rsidRPr="008E24FE">
        <w:rPr>
          <w:sz w:val="24"/>
        </w:rPr>
        <w:t xml:space="preserve"> меры, относящиеся к системам противоаварийной защиты и контроля; меры, касающиеся организации, оснащенности и боеготовности противоаварийных служб.</w:t>
      </w:r>
    </w:p>
    <w:p w:rsidR="009307D8" w:rsidRPr="008E24FE" w:rsidRDefault="009307D8" w:rsidP="009307D8">
      <w:pPr>
        <w:spacing w:line="360" w:lineRule="auto"/>
        <w:ind w:firstLine="737"/>
        <w:jc w:val="both"/>
        <w:rPr>
          <w:sz w:val="24"/>
        </w:rPr>
      </w:pPr>
      <w:r w:rsidRPr="008E24FE">
        <w:rPr>
          <w:sz w:val="24"/>
        </w:rPr>
        <w:t xml:space="preserve">Иными словами, в общем случае первоочередными мерами обеспечения безопасности являются меры предупреждения аварии. Основными мерами </w:t>
      </w:r>
      <w:r w:rsidRPr="008E24FE">
        <w:rPr>
          <w:sz w:val="24"/>
        </w:rPr>
        <w:lastRenderedPageBreak/>
        <w:t>предупреждения аварий является строгое исполнение технологической и производственной дисциплины, оперативный контроль.</w:t>
      </w:r>
    </w:p>
    <w:p w:rsidR="009307D8" w:rsidRPr="008E24FE" w:rsidRDefault="009307D8" w:rsidP="009307D8">
      <w:pPr>
        <w:spacing w:line="360" w:lineRule="auto"/>
        <w:ind w:firstLine="737"/>
        <w:jc w:val="both"/>
        <w:rPr>
          <w:sz w:val="24"/>
        </w:rPr>
      </w:pPr>
      <w:r w:rsidRPr="008E24FE">
        <w:rPr>
          <w:sz w:val="24"/>
        </w:rPr>
        <w:t>На всех этапах проведения работ специалисты в области инженерно-экологической безопасности, охраны здоровья и оценки риска должны анализировать фактические и потенциальные факторы безопасности. Компания в полной мере осознает свою ответственность, связанную с экологической безопасностью всех производственных работ и взаимодействует с органами надзора и инспекциями, отвечающими за инженерно-экологическую безопасность, охрану здоровья, на каждом этапе работ анализируют фактические и потенциальные факторы экологической безопасности производственного процесса на месторождении.</w:t>
      </w:r>
    </w:p>
    <w:p w:rsidR="009307D8" w:rsidRPr="008E24FE" w:rsidRDefault="009307D8" w:rsidP="009307D8">
      <w:pPr>
        <w:spacing w:line="360" w:lineRule="auto"/>
        <w:ind w:firstLine="737"/>
        <w:jc w:val="both"/>
        <w:rPr>
          <w:sz w:val="24"/>
        </w:rPr>
      </w:pPr>
      <w:r w:rsidRPr="008E24FE">
        <w:rPr>
          <w:sz w:val="24"/>
        </w:rPr>
        <w:t xml:space="preserve">Мероприятия по охране и защите окружающей среды, предусмотренные Проектом, полностью соответствует экологической политике, проводимой в Республике Казахстан. </w:t>
      </w:r>
      <w:proofErr w:type="gramStart"/>
      <w:r w:rsidRPr="008E24FE">
        <w:rPr>
          <w:sz w:val="24"/>
        </w:rPr>
        <w:t xml:space="preserve">Основные принципы этой политики сводятся к следующему: минимальное вмешательство в сложившиеся к настоящему времени природные экосистемы; использование новейших </w:t>
      </w:r>
      <w:proofErr w:type="spellStart"/>
      <w:r w:rsidRPr="008E24FE">
        <w:rPr>
          <w:sz w:val="24"/>
        </w:rPr>
        <w:t>природосберегающих</w:t>
      </w:r>
      <w:proofErr w:type="spellEnd"/>
      <w:r w:rsidRPr="008E24FE">
        <w:rPr>
          <w:sz w:val="24"/>
        </w:rPr>
        <w:t xml:space="preserve"> </w:t>
      </w:r>
      <w:proofErr w:type="spellStart"/>
      <w:r w:rsidRPr="008E24FE">
        <w:rPr>
          <w:sz w:val="24"/>
        </w:rPr>
        <w:t>экологичных</w:t>
      </w:r>
      <w:proofErr w:type="spellEnd"/>
      <w:r w:rsidRPr="008E24FE">
        <w:rPr>
          <w:sz w:val="24"/>
        </w:rPr>
        <w:t xml:space="preserve"> технологий; сведение к минимуму любых воздействий на окружающую среду в процессе проведения работ; полное восстановление нарушенных элементов природной среды после завершения работ.</w:t>
      </w:r>
      <w:proofErr w:type="gramEnd"/>
    </w:p>
    <w:p w:rsidR="009307D8" w:rsidRPr="008E24FE" w:rsidRDefault="009307D8" w:rsidP="009307D8">
      <w:pPr>
        <w:spacing w:line="360" w:lineRule="auto"/>
        <w:ind w:firstLine="737"/>
        <w:jc w:val="both"/>
        <w:rPr>
          <w:sz w:val="24"/>
        </w:rPr>
      </w:pPr>
      <w:r w:rsidRPr="008E24FE">
        <w:rPr>
          <w:sz w:val="24"/>
        </w:rPr>
        <w:t>Конструктивные решения и меры безопасности, осуществляемые недропользователем, обеспечат безопасность работ, гарантируют защиту здоровья персонала и окружающей среды, осуществят надлежащее и своевременное реагирование на аварийные ситуации в случае их возникновения в период эксплуатации месторождения.</w:t>
      </w:r>
    </w:p>
    <w:p w:rsidR="009307D8" w:rsidRPr="008E24FE" w:rsidRDefault="009307D8" w:rsidP="009307D8">
      <w:pPr>
        <w:spacing w:line="360" w:lineRule="auto"/>
        <w:ind w:firstLine="737"/>
        <w:jc w:val="both"/>
        <w:rPr>
          <w:sz w:val="24"/>
        </w:rPr>
      </w:pPr>
      <w:r w:rsidRPr="008E24FE">
        <w:rPr>
          <w:sz w:val="24"/>
        </w:rPr>
        <w:t>При строгом соблюдении проектных решений, применении современных технологий и трудовой дисциплины на этапе реализации проектных решений, позволяет судить о низкой степени вероятности возникновения аварийных ситуаций.</w:t>
      </w:r>
    </w:p>
    <w:p w:rsidR="009307D8" w:rsidRPr="00677C01" w:rsidRDefault="009307D8" w:rsidP="009307D8">
      <w:pPr>
        <w:pStyle w:val="a8"/>
        <w:spacing w:line="360" w:lineRule="auto"/>
        <w:ind w:firstLine="737"/>
        <w:rPr>
          <w:sz w:val="24"/>
          <w:u w:val="single"/>
        </w:rPr>
      </w:pPr>
      <w:r w:rsidRPr="00677C01">
        <w:rPr>
          <w:sz w:val="24"/>
          <w:u w:val="single"/>
        </w:rPr>
        <w:t>Основными мероприятиями при реализации проекта являются:</w:t>
      </w:r>
    </w:p>
    <w:p w:rsidR="006C2116" w:rsidRPr="006C2116" w:rsidRDefault="006C2116" w:rsidP="006C2116">
      <w:pPr>
        <w:spacing w:line="360" w:lineRule="auto"/>
        <w:ind w:firstLine="737"/>
        <w:jc w:val="both"/>
        <w:rPr>
          <w:sz w:val="24"/>
        </w:rPr>
      </w:pPr>
      <w:proofErr w:type="gramStart"/>
      <w:r w:rsidRPr="006C2116">
        <w:rPr>
          <w:b/>
          <w:sz w:val="24"/>
          <w:u w:val="single"/>
        </w:rPr>
        <w:t>Атмосферный воздух:</w:t>
      </w:r>
      <w:r w:rsidRPr="006C2116">
        <w:rPr>
          <w:sz w:val="24"/>
        </w:rPr>
        <w:t xml:space="preserve"> своевременное обслуживание техники; заправка техники топливом и маслами на заправочных пунктах в отведенных местах; использование качественного дизельного топлива; организация движения транспорта; сокращение работы двигателей на холостом ходу; пылеподавление, антикоррозионная защита оборудования и трубопроводов, безопасная эксплуатация оборудования и трубопроводов за счет автоматизации и непрерывного контроля технологических процессов.</w:t>
      </w:r>
      <w:proofErr w:type="gramEnd"/>
    </w:p>
    <w:p w:rsidR="006C2116" w:rsidRPr="006C2116" w:rsidRDefault="006C2116" w:rsidP="006C2116">
      <w:pPr>
        <w:spacing w:line="360" w:lineRule="auto"/>
        <w:ind w:firstLine="737"/>
        <w:jc w:val="both"/>
        <w:rPr>
          <w:sz w:val="24"/>
        </w:rPr>
      </w:pPr>
      <w:proofErr w:type="gramStart"/>
      <w:r w:rsidRPr="006C2116">
        <w:rPr>
          <w:b/>
          <w:sz w:val="24"/>
          <w:u w:val="single"/>
        </w:rPr>
        <w:t>Водные ресурсы:</w:t>
      </w:r>
      <w:r w:rsidRPr="006C2116">
        <w:rPr>
          <w:sz w:val="24"/>
        </w:rPr>
        <w:t xml:space="preserve"> производственные процессы исключают в рабочем режиме какие-либо стоки на рельеф с технологической площадки с твердым покрытием, которые могут быть загрязнены нефтепродуктами и другими веществами; система автоматики позволяет надёжно контролировать герметичность технологического процесса и </w:t>
      </w:r>
      <w:r w:rsidRPr="006C2116">
        <w:rPr>
          <w:sz w:val="24"/>
        </w:rPr>
        <w:lastRenderedPageBreak/>
        <w:t>исключить бесконтрольные утечки и переливы; надежный контроль качества сварных стыков физическими и радиографическими методами, обеспечивающий надежность герметизации технологических систем;</w:t>
      </w:r>
      <w:proofErr w:type="gramEnd"/>
      <w:r w:rsidRPr="006C2116">
        <w:rPr>
          <w:sz w:val="24"/>
        </w:rPr>
        <w:t xml:space="preserve"> </w:t>
      </w:r>
      <w:proofErr w:type="gramStart"/>
      <w:r w:rsidRPr="006C2116">
        <w:rPr>
          <w:sz w:val="24"/>
        </w:rPr>
        <w:t>контроль за</w:t>
      </w:r>
      <w:proofErr w:type="gramEnd"/>
      <w:r w:rsidRPr="006C2116">
        <w:rPr>
          <w:sz w:val="24"/>
        </w:rPr>
        <w:t xml:space="preserve"> качеством и составом питьевой и технической воды; защита коммуникаций от коррозии.</w:t>
      </w:r>
    </w:p>
    <w:p w:rsidR="006C2116" w:rsidRPr="006C2116" w:rsidRDefault="006C2116" w:rsidP="006C2116">
      <w:pPr>
        <w:spacing w:line="360" w:lineRule="auto"/>
        <w:ind w:firstLine="737"/>
        <w:jc w:val="both"/>
        <w:rPr>
          <w:sz w:val="24"/>
        </w:rPr>
      </w:pPr>
      <w:r w:rsidRPr="006C2116">
        <w:rPr>
          <w:b/>
          <w:sz w:val="24"/>
          <w:u w:val="single"/>
        </w:rPr>
        <w:t>Почвенный и растительный покров:</w:t>
      </w:r>
      <w:r w:rsidRPr="006C2116">
        <w:rPr>
          <w:sz w:val="24"/>
        </w:rPr>
        <w:t xml:space="preserve"> на </w:t>
      </w:r>
      <w:proofErr w:type="gramStart"/>
      <w:r w:rsidRPr="006C2116">
        <w:rPr>
          <w:sz w:val="24"/>
        </w:rPr>
        <w:t>каждом</w:t>
      </w:r>
      <w:proofErr w:type="gramEnd"/>
      <w:r w:rsidRPr="006C2116">
        <w:rPr>
          <w:sz w:val="24"/>
        </w:rPr>
        <w:t xml:space="preserve"> объекте работы спецтехники должен быть организован сбор отработанных и заменяемых масел с последующей отправкой их на регенерацию. </w:t>
      </w:r>
      <w:proofErr w:type="gramStart"/>
      <w:r w:rsidRPr="006C2116">
        <w:rPr>
          <w:sz w:val="24"/>
        </w:rPr>
        <w:t>Слив масла на растительный, почвенный покров или в водные объекты запрещается; организация движения техники (движение к местам проведения работ должно осуществляться по существующим дорогам), сбор и утилизация образующихся при строительстве производственных отходов, строгое регламентирование проведения работ, связанных с загрязнением почвенного покрова при эксплуатационном и ремонтном режиме работ; восстановление земель, нарушенных при строительстве и эксплуатации объектов;</w:t>
      </w:r>
      <w:proofErr w:type="gramEnd"/>
      <w:r w:rsidRPr="006C2116">
        <w:rPr>
          <w:sz w:val="24"/>
        </w:rPr>
        <w:t xml:space="preserve"> инвентаризация, сбор отходов в специально оборудованных местах. </w:t>
      </w:r>
    </w:p>
    <w:p w:rsidR="006C2116" w:rsidRDefault="006C2116" w:rsidP="006C2116">
      <w:pPr>
        <w:spacing w:line="360" w:lineRule="auto"/>
        <w:ind w:firstLine="737"/>
        <w:jc w:val="both"/>
        <w:rPr>
          <w:sz w:val="24"/>
        </w:rPr>
      </w:pPr>
      <w:r w:rsidRPr="006C2116">
        <w:rPr>
          <w:b/>
          <w:sz w:val="24"/>
          <w:u w:val="single"/>
        </w:rPr>
        <w:t>Животный мир:</w:t>
      </w:r>
      <w:r w:rsidRPr="006C2116">
        <w:rPr>
          <w:sz w:val="24"/>
        </w:rPr>
        <w:t xml:space="preserve"> ограничение подачи звуковых сигналов, снижение шумового фактора, создание ограждений для предотвращения попадания животных на объекты.</w:t>
      </w:r>
    </w:p>
    <w:p w:rsidR="000D211B" w:rsidRDefault="000D211B"/>
    <w:sectPr w:rsidR="000D211B" w:rsidSect="000D21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503D4"/>
    <w:multiLevelType w:val="hybridMultilevel"/>
    <w:tmpl w:val="27A2F65E"/>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
    <w:nsid w:val="44716718"/>
    <w:multiLevelType w:val="hybridMultilevel"/>
    <w:tmpl w:val="C494E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951415"/>
    <w:multiLevelType w:val="hybridMultilevel"/>
    <w:tmpl w:val="6092197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75913C8"/>
    <w:multiLevelType w:val="multilevel"/>
    <w:tmpl w:val="B3A4209C"/>
    <w:lvl w:ilvl="0">
      <w:start w:val="1"/>
      <w:numFmt w:val="decimal"/>
      <w:pStyle w:val="1"/>
      <w:lvlText w:val="%1.0"/>
      <w:lvlJc w:val="left"/>
      <w:pPr>
        <w:tabs>
          <w:tab w:val="num" w:pos="1080"/>
        </w:tabs>
        <w:ind w:left="1080" w:hanging="1080"/>
      </w:pPr>
    </w:lvl>
    <w:lvl w:ilvl="1">
      <w:start w:val="1"/>
      <w:numFmt w:val="decimal"/>
      <w:pStyle w:val="2"/>
      <w:lvlText w:val="%1.%2"/>
      <w:lvlJc w:val="left"/>
      <w:pPr>
        <w:tabs>
          <w:tab w:val="num" w:pos="1260"/>
        </w:tabs>
        <w:ind w:left="1260" w:hanging="1080"/>
      </w:pPr>
      <w:rPr>
        <w:u w:val="none"/>
      </w:rPr>
    </w:lvl>
    <w:lvl w:ilvl="2">
      <w:start w:val="1"/>
      <w:numFmt w:val="decimal"/>
      <w:pStyle w:val="3"/>
      <w:lvlText w:val="%1.%2.%3"/>
      <w:lvlJc w:val="left"/>
      <w:pPr>
        <w:tabs>
          <w:tab w:val="num" w:pos="1080"/>
        </w:tabs>
        <w:ind w:left="1080" w:hanging="1080"/>
      </w:pPr>
      <w:rPr>
        <w:u w:val="none"/>
      </w:rPr>
    </w:lvl>
    <w:lvl w:ilvl="3">
      <w:start w:val="1"/>
      <w:numFmt w:val="decimal"/>
      <w:pStyle w:val="4"/>
      <w:lvlText w:val="%1.%2.%3.%4"/>
      <w:lvlJc w:val="left"/>
      <w:pPr>
        <w:tabs>
          <w:tab w:val="num" w:pos="1080"/>
        </w:tabs>
        <w:ind w:left="1080" w:hanging="1080"/>
      </w:pPr>
    </w:lvl>
    <w:lvl w:ilvl="4">
      <w:start w:val="1"/>
      <w:numFmt w:val="decimal"/>
      <w:pStyle w:val="5"/>
      <w:lvlText w:val="%1.%2.%3.%4.%5."/>
      <w:lvlJc w:val="left"/>
      <w:pPr>
        <w:tabs>
          <w:tab w:val="num" w:pos="1080"/>
        </w:tabs>
        <w:ind w:left="1080" w:hanging="1080"/>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9307D8"/>
    <w:rsid w:val="00033F8C"/>
    <w:rsid w:val="000D211B"/>
    <w:rsid w:val="00103729"/>
    <w:rsid w:val="0011750F"/>
    <w:rsid w:val="002E5EC3"/>
    <w:rsid w:val="00305CD2"/>
    <w:rsid w:val="003C6C6E"/>
    <w:rsid w:val="004506C2"/>
    <w:rsid w:val="00500E82"/>
    <w:rsid w:val="00501EC0"/>
    <w:rsid w:val="0060364D"/>
    <w:rsid w:val="006C2116"/>
    <w:rsid w:val="00747AAB"/>
    <w:rsid w:val="007C3A39"/>
    <w:rsid w:val="007F76F7"/>
    <w:rsid w:val="009307D8"/>
    <w:rsid w:val="00957B1E"/>
    <w:rsid w:val="00A30DAC"/>
    <w:rsid w:val="00B31791"/>
    <w:rsid w:val="00B82639"/>
    <w:rsid w:val="00E6204C"/>
    <w:rsid w:val="00F50641"/>
    <w:rsid w:val="00F91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307D8"/>
    <w:pPr>
      <w:spacing w:after="0" w:line="240" w:lineRule="auto"/>
    </w:pPr>
    <w:rPr>
      <w:rFonts w:ascii="Times New Roman" w:eastAsia="Times New Roman" w:hAnsi="Times New Roman" w:cs="Times New Roman"/>
      <w:sz w:val="20"/>
      <w:szCs w:val="24"/>
      <w:lang w:eastAsia="ru-RU"/>
    </w:rPr>
  </w:style>
  <w:style w:type="paragraph" w:styleId="1">
    <w:name w:val="heading 1"/>
    <w:aliases w:val="Заголовок 1 Знак1,Заголовок 1 Знак Знак"/>
    <w:basedOn w:val="a"/>
    <w:next w:val="2"/>
    <w:link w:val="10"/>
    <w:qFormat/>
    <w:rsid w:val="0060364D"/>
    <w:pPr>
      <w:numPr>
        <w:numId w:val="4"/>
      </w:numPr>
      <w:tabs>
        <w:tab w:val="left" w:pos="0"/>
      </w:tabs>
      <w:spacing w:before="180" w:after="60"/>
      <w:outlineLvl w:val="0"/>
    </w:pPr>
    <w:rPr>
      <w:rFonts w:ascii="Arial" w:hAnsi="Arial"/>
      <w:b/>
      <w:sz w:val="22"/>
      <w:szCs w:val="20"/>
      <w:lang w:val="en-US" w:eastAsia="en-US"/>
    </w:rPr>
  </w:style>
  <w:style w:type="paragraph" w:styleId="2">
    <w:name w:val="heading 2"/>
    <w:aliases w:val=" Char,Char"/>
    <w:basedOn w:val="1"/>
    <w:link w:val="20"/>
    <w:qFormat/>
    <w:rsid w:val="0060364D"/>
    <w:pPr>
      <w:numPr>
        <w:ilvl w:val="1"/>
      </w:numPr>
      <w:tabs>
        <w:tab w:val="clear" w:pos="1260"/>
        <w:tab w:val="num" w:pos="1080"/>
      </w:tabs>
      <w:ind w:left="1080"/>
      <w:jc w:val="both"/>
      <w:outlineLvl w:val="1"/>
    </w:pPr>
    <w:rPr>
      <w:u w:val="single"/>
    </w:rPr>
  </w:style>
  <w:style w:type="paragraph" w:styleId="3">
    <w:name w:val="heading 3"/>
    <w:aliases w:val="Заголовок 3 Знак1"/>
    <w:basedOn w:val="2"/>
    <w:link w:val="30"/>
    <w:qFormat/>
    <w:rsid w:val="0060364D"/>
    <w:pPr>
      <w:numPr>
        <w:ilvl w:val="2"/>
      </w:numPr>
      <w:outlineLvl w:val="2"/>
    </w:pPr>
    <w:rPr>
      <w:b w:val="0"/>
      <w:u w:val="none"/>
    </w:rPr>
  </w:style>
  <w:style w:type="paragraph" w:styleId="4">
    <w:name w:val="heading 4"/>
    <w:basedOn w:val="3"/>
    <w:link w:val="40"/>
    <w:qFormat/>
    <w:rsid w:val="0060364D"/>
    <w:pPr>
      <w:numPr>
        <w:ilvl w:val="3"/>
      </w:numPr>
      <w:spacing w:line="240" w:lineRule="atLeast"/>
      <w:outlineLvl w:val="3"/>
    </w:pPr>
  </w:style>
  <w:style w:type="paragraph" w:styleId="5">
    <w:name w:val="heading 5"/>
    <w:aliases w:val="Таблица,справа"/>
    <w:basedOn w:val="4"/>
    <w:next w:val="a"/>
    <w:link w:val="50"/>
    <w:uiPriority w:val="99"/>
    <w:qFormat/>
    <w:rsid w:val="0060364D"/>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сновной текст Знак Знак Знак Знак Знак Знак Знак Знак Знак Знак"/>
    <w:basedOn w:val="a"/>
    <w:link w:val="a5"/>
    <w:qFormat/>
    <w:rsid w:val="009307D8"/>
    <w:pPr>
      <w:spacing w:line="360" w:lineRule="auto"/>
      <w:ind w:firstLine="737"/>
      <w:jc w:val="both"/>
    </w:pPr>
    <w:rPr>
      <w:sz w:val="24"/>
    </w:rPr>
  </w:style>
  <w:style w:type="table" w:styleId="a6">
    <w:name w:val="Table Grid"/>
    <w:aliases w:val="Table 1,CMS TABLES"/>
    <w:basedOn w:val="a2"/>
    <w:uiPriority w:val="59"/>
    <w:qFormat/>
    <w:rsid w:val="009307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Знак Знак Знак Знак Знак Знак Знак Знак Знак Знак"/>
    <w:basedOn w:val="a1"/>
    <w:link w:val="a4"/>
    <w:rsid w:val="009307D8"/>
    <w:rPr>
      <w:rFonts w:ascii="Times New Roman" w:eastAsia="Times New Roman" w:hAnsi="Times New Roman" w:cs="Times New Roman"/>
      <w:sz w:val="24"/>
      <w:szCs w:val="24"/>
      <w:lang w:eastAsia="ru-RU"/>
    </w:rPr>
  </w:style>
  <w:style w:type="paragraph" w:customStyle="1" w:styleId="a7">
    <w:name w:val="РАЗДЕЛ"/>
    <w:basedOn w:val="a"/>
    <w:next w:val="a"/>
    <w:qFormat/>
    <w:rsid w:val="009307D8"/>
    <w:pPr>
      <w:spacing w:before="360" w:after="360"/>
      <w:ind w:firstLine="737"/>
      <w:jc w:val="both"/>
    </w:pPr>
    <w:rPr>
      <w:b/>
      <w:caps/>
      <w:sz w:val="24"/>
      <w:szCs w:val="20"/>
    </w:rPr>
  </w:style>
  <w:style w:type="paragraph" w:styleId="a8">
    <w:name w:val="Body Text"/>
    <w:aliases w:val="Основной текст Знак Знак,Основной текст Знак Знак1 Знак,Основной текст Знак1 Знак Знак Знак,Основной текст Знак Знак Знак Знак Знак,Основной текст Знак1 Знак Знак Знак Знак Знак,b Знак Знак,b Знак,Основной текст Знак1"/>
    <w:basedOn w:val="a"/>
    <w:link w:val="21"/>
    <w:qFormat/>
    <w:rsid w:val="009307D8"/>
    <w:pPr>
      <w:spacing w:after="120"/>
    </w:pPr>
  </w:style>
  <w:style w:type="character" w:customStyle="1" w:styleId="a9">
    <w:name w:val="Основной текст Знак"/>
    <w:basedOn w:val="a1"/>
    <w:link w:val="a8"/>
    <w:uiPriority w:val="99"/>
    <w:semiHidden/>
    <w:rsid w:val="009307D8"/>
    <w:rPr>
      <w:rFonts w:ascii="Times New Roman" w:eastAsia="Times New Roman" w:hAnsi="Times New Roman" w:cs="Times New Roman"/>
      <w:sz w:val="20"/>
      <w:szCs w:val="24"/>
      <w:lang w:eastAsia="ru-RU"/>
    </w:rPr>
  </w:style>
  <w:style w:type="paragraph" w:customStyle="1" w:styleId="aa">
    <w:name w:val="пункт"/>
    <w:basedOn w:val="a"/>
    <w:next w:val="a"/>
    <w:link w:val="11"/>
    <w:qFormat/>
    <w:rsid w:val="009307D8"/>
    <w:pPr>
      <w:spacing w:before="240"/>
      <w:ind w:firstLine="737"/>
      <w:jc w:val="both"/>
    </w:pPr>
    <w:rPr>
      <w:b/>
      <w:sz w:val="24"/>
    </w:rPr>
  </w:style>
  <w:style w:type="paragraph" w:customStyle="1" w:styleId="ab">
    <w:name w:val="основной текст"/>
    <w:basedOn w:val="a"/>
    <w:link w:val="ac"/>
    <w:qFormat/>
    <w:rsid w:val="009307D8"/>
    <w:pPr>
      <w:spacing w:line="360" w:lineRule="auto"/>
      <w:ind w:firstLine="737"/>
      <w:jc w:val="both"/>
    </w:pPr>
    <w:rPr>
      <w:sz w:val="24"/>
    </w:rPr>
  </w:style>
  <w:style w:type="paragraph" w:customStyle="1" w:styleId="ad">
    <w:name w:val="основной текст Знак Знак Знак Знак Знак Знак Знак Знак Знак Знак Знак Знак Знак"/>
    <w:basedOn w:val="a"/>
    <w:link w:val="ae"/>
    <w:qFormat/>
    <w:rsid w:val="009307D8"/>
    <w:pPr>
      <w:spacing w:line="360" w:lineRule="auto"/>
      <w:ind w:firstLine="737"/>
      <w:jc w:val="both"/>
    </w:pPr>
    <w:rPr>
      <w:sz w:val="24"/>
    </w:rPr>
  </w:style>
  <w:style w:type="character" w:customStyle="1" w:styleId="ae">
    <w:name w:val="основной текст Знак Знак Знак Знак Знак Знак Знак Знак Знак Знак Знак Знак Знак Знак"/>
    <w:basedOn w:val="a1"/>
    <w:link w:val="ad"/>
    <w:rsid w:val="009307D8"/>
    <w:rPr>
      <w:rFonts w:ascii="Times New Roman" w:eastAsia="Times New Roman" w:hAnsi="Times New Roman" w:cs="Times New Roman"/>
      <w:sz w:val="24"/>
      <w:szCs w:val="24"/>
      <w:lang w:eastAsia="ru-RU"/>
    </w:rPr>
  </w:style>
  <w:style w:type="character" w:customStyle="1" w:styleId="21">
    <w:name w:val="Основной текст Знак2"/>
    <w:aliases w:val="Основной текст Знак Знак Знак,Основной текст Знак Знак1 Знак Знак,Основной текст Знак1 Знак Знак Знак Знак,Основной текст Знак Знак Знак Знак Знак Знак,Основной текст Знак1 Знак Знак Знак Знак Знак Знак,b Знак Знак Знак,b Знак Знак1"/>
    <w:basedOn w:val="a1"/>
    <w:link w:val="a8"/>
    <w:rsid w:val="009307D8"/>
    <w:rPr>
      <w:rFonts w:ascii="Times New Roman" w:eastAsia="Times New Roman" w:hAnsi="Times New Roman" w:cs="Times New Roman"/>
      <w:sz w:val="20"/>
      <w:szCs w:val="24"/>
      <w:lang w:eastAsia="ru-RU"/>
    </w:rPr>
  </w:style>
  <w:style w:type="character" w:customStyle="1" w:styleId="11">
    <w:name w:val="пункт Знак1"/>
    <w:basedOn w:val="a1"/>
    <w:link w:val="aa"/>
    <w:rsid w:val="009307D8"/>
    <w:rPr>
      <w:rFonts w:ascii="Times New Roman" w:eastAsia="Times New Roman" w:hAnsi="Times New Roman" w:cs="Times New Roman"/>
      <w:b/>
      <w:sz w:val="24"/>
      <w:szCs w:val="24"/>
      <w:lang w:eastAsia="ru-RU"/>
    </w:rPr>
  </w:style>
  <w:style w:type="character" w:customStyle="1" w:styleId="ac">
    <w:name w:val="основной текст Знак"/>
    <w:basedOn w:val="a1"/>
    <w:link w:val="ab"/>
    <w:rsid w:val="009307D8"/>
    <w:rPr>
      <w:rFonts w:ascii="Times New Roman" w:eastAsia="Times New Roman" w:hAnsi="Times New Roman" w:cs="Times New Roman"/>
      <w:sz w:val="24"/>
      <w:szCs w:val="24"/>
      <w:lang w:eastAsia="ru-RU"/>
    </w:rPr>
  </w:style>
  <w:style w:type="paragraph" w:styleId="af">
    <w:name w:val="List Paragraph"/>
    <w:aliases w:val="текст ГЕО,список,_список,Маркированный кругом,PD_Bullet,Список исполнителей 1,Абзац,Заголовок2,не удалять,Список_Заголовок_2,Reference list,Bullets H1/2,Liste_LMM,strich,2nd Tier Header,Citation List,Рис. Х.,Beran Bullets,CAFC Bullets,Глава"/>
    <w:basedOn w:val="a"/>
    <w:link w:val="af0"/>
    <w:uiPriority w:val="34"/>
    <w:qFormat/>
    <w:rsid w:val="009307D8"/>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текст ГЕО Знак,список Знак,_список Знак,Маркированный кругом Знак,PD_Bullet Знак,Список исполнителей 1 Знак,Абзац Знак,Заголовок2 Знак,не удалять Знак,Список_Заголовок_2 Знак,Reference list Знак,Bullets H1/2 Знак,Liste_LMM Знак"/>
    <w:link w:val="af"/>
    <w:uiPriority w:val="34"/>
    <w:qFormat/>
    <w:locked/>
    <w:rsid w:val="009307D8"/>
    <w:rPr>
      <w:rFonts w:ascii="Calibri" w:eastAsia="Calibri" w:hAnsi="Calibri" w:cs="Times New Roman"/>
    </w:rPr>
  </w:style>
  <w:style w:type="paragraph" w:styleId="a0">
    <w:name w:val="table of authorities"/>
    <w:basedOn w:val="a"/>
    <w:next w:val="a"/>
    <w:uiPriority w:val="99"/>
    <w:semiHidden/>
    <w:unhideWhenUsed/>
    <w:rsid w:val="009307D8"/>
    <w:pPr>
      <w:ind w:left="200" w:hanging="200"/>
    </w:pPr>
  </w:style>
  <w:style w:type="paragraph" w:styleId="af1">
    <w:name w:val="Balloon Text"/>
    <w:basedOn w:val="a"/>
    <w:link w:val="af2"/>
    <w:uiPriority w:val="99"/>
    <w:semiHidden/>
    <w:unhideWhenUsed/>
    <w:rsid w:val="009307D8"/>
    <w:rPr>
      <w:rFonts w:ascii="Tahoma" w:hAnsi="Tahoma" w:cs="Tahoma"/>
      <w:sz w:val="16"/>
      <w:szCs w:val="16"/>
    </w:rPr>
  </w:style>
  <w:style w:type="character" w:customStyle="1" w:styleId="af2">
    <w:name w:val="Текст выноски Знак"/>
    <w:basedOn w:val="a1"/>
    <w:link w:val="af1"/>
    <w:uiPriority w:val="99"/>
    <w:semiHidden/>
    <w:rsid w:val="009307D8"/>
    <w:rPr>
      <w:rFonts w:ascii="Tahoma" w:eastAsia="Times New Roman" w:hAnsi="Tahoma" w:cs="Tahoma"/>
      <w:sz w:val="16"/>
      <w:szCs w:val="16"/>
      <w:lang w:eastAsia="ru-RU"/>
    </w:rPr>
  </w:style>
  <w:style w:type="paragraph" w:styleId="af3">
    <w:name w:val="header"/>
    <w:aliases w:val="Знак Знак Знак Знак,Header_ARGOSS, Знак5,Знак9, Знак9 Знак Знак,Title Up,Знак5, Знак12 Знак, Знак9, Знак9 Знак,Знак9 Знак Знак,h"/>
    <w:basedOn w:val="a"/>
    <w:link w:val="af4"/>
    <w:rsid w:val="00A30DAC"/>
    <w:pPr>
      <w:tabs>
        <w:tab w:val="center" w:pos="4677"/>
        <w:tab w:val="right" w:pos="9355"/>
      </w:tabs>
    </w:pPr>
    <w:rPr>
      <w:sz w:val="24"/>
    </w:rPr>
  </w:style>
  <w:style w:type="character" w:customStyle="1" w:styleId="af4">
    <w:name w:val="Верхний колонтитул Знак"/>
    <w:aliases w:val="Знак Знак Знак Знак Знак,Header_ARGOSS Знак, Знак5 Знак,Знак9 Знак, Знак9 Знак Знак Знак,Title Up Знак,Знак5 Знак, Знак12 Знак Знак, Знак9 Знак1, Знак9 Знак Знак1,Знак9 Знак Знак Знак,h Знак"/>
    <w:basedOn w:val="a1"/>
    <w:link w:val="af3"/>
    <w:rsid w:val="00A30DAC"/>
    <w:rPr>
      <w:rFonts w:ascii="Times New Roman" w:eastAsia="Times New Roman" w:hAnsi="Times New Roman" w:cs="Times New Roman"/>
      <w:sz w:val="24"/>
      <w:szCs w:val="24"/>
      <w:lang w:eastAsia="ru-RU"/>
    </w:rPr>
  </w:style>
  <w:style w:type="paragraph" w:styleId="22">
    <w:name w:val="Body Text Indent 2"/>
    <w:basedOn w:val="a"/>
    <w:link w:val="23"/>
    <w:unhideWhenUsed/>
    <w:rsid w:val="007F76F7"/>
    <w:pPr>
      <w:spacing w:after="120" w:line="480" w:lineRule="auto"/>
      <w:ind w:left="283"/>
    </w:pPr>
    <w:rPr>
      <w:rFonts w:ascii="Calibri" w:eastAsia="SimSun" w:hAnsi="Calibri"/>
      <w:sz w:val="22"/>
      <w:szCs w:val="22"/>
      <w:lang w:eastAsia="en-US"/>
    </w:rPr>
  </w:style>
  <w:style w:type="character" w:customStyle="1" w:styleId="23">
    <w:name w:val="Основной текст с отступом 2 Знак"/>
    <w:basedOn w:val="a1"/>
    <w:link w:val="22"/>
    <w:rsid w:val="007F76F7"/>
    <w:rPr>
      <w:rFonts w:ascii="Calibri" w:eastAsia="SimSun" w:hAnsi="Calibri" w:cs="Times New Roman"/>
    </w:rPr>
  </w:style>
  <w:style w:type="character" w:customStyle="1" w:styleId="10">
    <w:name w:val="Заголовок 1 Знак"/>
    <w:aliases w:val="Заголовок 1 Знак1 Знак,Заголовок 1 Знак Знак Знак"/>
    <w:basedOn w:val="a1"/>
    <w:link w:val="1"/>
    <w:rsid w:val="0060364D"/>
    <w:rPr>
      <w:rFonts w:ascii="Arial" w:eastAsia="Times New Roman" w:hAnsi="Arial" w:cs="Times New Roman"/>
      <w:b/>
      <w:szCs w:val="20"/>
      <w:lang w:val="en-US"/>
    </w:rPr>
  </w:style>
  <w:style w:type="character" w:customStyle="1" w:styleId="20">
    <w:name w:val="Заголовок 2 Знак"/>
    <w:aliases w:val=" Char Знак,Char Знак"/>
    <w:basedOn w:val="a1"/>
    <w:link w:val="2"/>
    <w:rsid w:val="0060364D"/>
    <w:rPr>
      <w:rFonts w:ascii="Arial" w:eastAsia="Times New Roman" w:hAnsi="Arial" w:cs="Times New Roman"/>
      <w:b/>
      <w:szCs w:val="20"/>
      <w:u w:val="single"/>
      <w:lang w:val="en-US"/>
    </w:rPr>
  </w:style>
  <w:style w:type="character" w:customStyle="1" w:styleId="30">
    <w:name w:val="Заголовок 3 Знак"/>
    <w:aliases w:val="Заголовок 3 Знак1 Знак"/>
    <w:basedOn w:val="a1"/>
    <w:link w:val="3"/>
    <w:rsid w:val="0060364D"/>
    <w:rPr>
      <w:rFonts w:ascii="Arial" w:eastAsia="Times New Roman" w:hAnsi="Arial" w:cs="Times New Roman"/>
      <w:szCs w:val="20"/>
      <w:lang w:val="en-US"/>
    </w:rPr>
  </w:style>
  <w:style w:type="character" w:customStyle="1" w:styleId="40">
    <w:name w:val="Заголовок 4 Знак"/>
    <w:basedOn w:val="a1"/>
    <w:link w:val="4"/>
    <w:rsid w:val="0060364D"/>
    <w:rPr>
      <w:rFonts w:ascii="Arial" w:eastAsia="Times New Roman" w:hAnsi="Arial" w:cs="Times New Roman"/>
      <w:szCs w:val="20"/>
      <w:lang w:val="en-US"/>
    </w:rPr>
  </w:style>
  <w:style w:type="character" w:customStyle="1" w:styleId="50">
    <w:name w:val="Заголовок 5 Знак"/>
    <w:aliases w:val="Таблица Знак,справа Знак"/>
    <w:basedOn w:val="a1"/>
    <w:link w:val="5"/>
    <w:uiPriority w:val="99"/>
    <w:rsid w:val="0060364D"/>
    <w:rPr>
      <w:rFonts w:ascii="Arial" w:eastAsia="Times New Roman" w:hAnsi="Arial" w:cs="Times New Roman"/>
      <w:szCs w:val="20"/>
      <w:lang w:val="en-US"/>
    </w:rPr>
  </w:style>
  <w:style w:type="character" w:customStyle="1" w:styleId="Verdana">
    <w:name w:val="Стиль (латиница) Verdana"/>
    <w:basedOn w:val="a1"/>
    <w:rsid w:val="006C2116"/>
    <w:rPr>
      <w:rFonts w:ascii="Verdana" w:hAnsi="Verdana"/>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3542</Words>
  <Characters>20195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NIPIneftegas JSC</Company>
  <LinksUpToDate>false</LinksUpToDate>
  <CharactersWithSpaces>23690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Гульдана Мендигазиева</dc:creator>
  <cp:keywords/>
  <dc:description/>
  <cp:lastModifiedBy>Гульдана Мендигазиева</cp:lastModifiedBy>
  <cp:revision>6</cp:revision>
  <dcterms:created xsi:type="dcterms:W3CDTF">2026-06-02T10:07:00Z</dcterms:created>
  <dcterms:modified xsi:type="dcterms:W3CDTF">2026-07-08T06:07:00Z</dcterms:modified>
</cp:coreProperties>
</file>