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A6976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70064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2DA2F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F75F2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D7F01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DB4DF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65538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9AC064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9FE81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208FC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3DCA5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B7840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70B90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BBDA5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90F9B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5F60C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A7B15F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9BAE9" w14:textId="77777777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034AA" w14:textId="17733A21" w:rsidR="005028B9" w:rsidRDefault="005028B9" w:rsidP="005028B9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C8">
        <w:rPr>
          <w:rFonts w:ascii="Times New Roman" w:hAnsi="Times New Roman" w:cs="Times New Roman"/>
          <w:b/>
          <w:sz w:val="28"/>
          <w:szCs w:val="28"/>
        </w:rPr>
        <w:t>КРАТКОЕ НЕТЕХНИЧЕСКОЕ РЕЗЮМЕ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D87B46" w14:textId="2FB97E42" w:rsidR="005028B9" w:rsidRDefault="005028B9" w:rsidP="005028B9">
      <w:pPr>
        <w:suppressAutoHyphens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ТОО «</w:t>
      </w:r>
      <w:r w:rsidRPr="00FC14C8">
        <w:rPr>
          <w:rFonts w:ascii="Times New Roman" w:hAnsi="Times New Roman" w:cs="Times New Roman"/>
          <w:b/>
          <w:sz w:val="28"/>
          <w:szCs w:val="28"/>
        </w:rPr>
        <w:t>АГРО LTD 2017</w:t>
      </w:r>
      <w:r>
        <w:rPr>
          <w:rFonts w:ascii="Times New Roman" w:hAnsi="Times New Roman" w:cs="Times New Roman"/>
          <w:b/>
          <w:sz w:val="28"/>
          <w:szCs w:val="28"/>
        </w:rPr>
        <w:t>»,</w:t>
      </w:r>
    </w:p>
    <w:p w14:paraId="719CE460" w14:textId="45AA422C" w:rsidR="005028B9" w:rsidRPr="00F901BF" w:rsidRDefault="005028B9" w:rsidP="005028B9">
      <w:pPr>
        <w:suppressAutoHyphens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МЕСТОРОЖДЕНИЕ ВОЛГОДОНОВСКОЕ, УЧАСТОК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ВОСТОЧНЫЙ (БЛОК 7С</w:t>
      </w:r>
      <w:r w:rsidRPr="005028B9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C3F6A42" w14:textId="77777777" w:rsidR="005028B9" w:rsidRDefault="005028B9" w:rsidP="005028B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AF22ED6" w14:textId="7BEADD79" w:rsidR="005028B9" w:rsidRPr="00F901BF" w:rsidRDefault="005028B9" w:rsidP="005028B9">
      <w:pPr>
        <w:pStyle w:val="ad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lastRenderedPageBreak/>
        <w:t>1. Описание предполагаемого места осуществления намечаемой деятельности, план с изображением его границ</w:t>
      </w:r>
    </w:p>
    <w:p w14:paraId="27FB9A3D" w14:textId="77777777" w:rsidR="005028B9" w:rsidRPr="00F901BF" w:rsidRDefault="005028B9" w:rsidP="005028B9">
      <w:pPr>
        <w:pStyle w:val="Style62"/>
        <w:widowControl/>
        <w:spacing w:line="240" w:lineRule="auto"/>
        <w:ind w:firstLine="709"/>
        <w:jc w:val="both"/>
        <w:rPr>
          <w:rStyle w:val="FontStyle930"/>
        </w:rPr>
      </w:pPr>
      <w:r w:rsidRPr="00F901BF">
        <w:rPr>
          <w:sz w:val="28"/>
          <w:szCs w:val="28"/>
        </w:rPr>
        <w:t>Участок Восточный (блок 7С</w:t>
      </w:r>
      <w:r w:rsidRPr="00F901BF">
        <w:rPr>
          <w:sz w:val="28"/>
          <w:szCs w:val="28"/>
          <w:vertAlign w:val="subscript"/>
        </w:rPr>
        <w:t>1</w:t>
      </w:r>
      <w:r w:rsidRPr="00F901BF">
        <w:rPr>
          <w:sz w:val="28"/>
          <w:szCs w:val="28"/>
        </w:rPr>
        <w:t xml:space="preserve">) месторождения </w:t>
      </w:r>
      <w:r w:rsidRPr="00F901BF">
        <w:rPr>
          <w:rStyle w:val="FontStyle930"/>
        </w:rPr>
        <w:t xml:space="preserve">строительных песков </w:t>
      </w:r>
      <w:r w:rsidRPr="00F901BF">
        <w:rPr>
          <w:sz w:val="28"/>
          <w:szCs w:val="28"/>
        </w:rPr>
        <w:t>Волгодоновское в Аршалынском районе Акмолинской области</w:t>
      </w:r>
      <w:r w:rsidRPr="00F901BF">
        <w:rPr>
          <w:rStyle w:val="FontStyle930"/>
        </w:rPr>
        <w:t xml:space="preserve"> расположено в </w:t>
      </w:r>
      <w:r w:rsidRPr="00F901BF">
        <w:rPr>
          <w:rStyle w:val="FontStyle931"/>
          <w:spacing w:val="-20"/>
        </w:rPr>
        <w:t>19</w:t>
      </w:r>
      <w:r w:rsidRPr="00F901BF">
        <w:rPr>
          <w:rStyle w:val="FontStyle931"/>
        </w:rPr>
        <w:t xml:space="preserve"> </w:t>
      </w:r>
      <w:r w:rsidRPr="00F901BF">
        <w:rPr>
          <w:rStyle w:val="FontStyle930"/>
        </w:rPr>
        <w:t>км на юго-восток от г.Астана.</w:t>
      </w:r>
    </w:p>
    <w:p w14:paraId="7A58EF79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Ближайшие населенные пункты:</w:t>
      </w:r>
    </w:p>
    <w:p w14:paraId="40E7E294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- разъезд 42, расположенный в 3,2км юго-западнее участка;</w:t>
      </w:r>
    </w:p>
    <w:p w14:paraId="1AEC17B7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- с.Жибек Жолы, расположенное в 5,3км юго-западнее участка;</w:t>
      </w:r>
    </w:p>
    <w:p w14:paraId="6E569A0D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- с.Койкелды, расположенное в 4,2км северо-восточнее участка;</w:t>
      </w:r>
    </w:p>
    <w:p w14:paraId="0B60C502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- с.Ельток, расположенное в 6,0км юго-восточнее участка.</w:t>
      </w:r>
    </w:p>
    <w:p w14:paraId="1A72A0F1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Ближайший водный объект:</w:t>
      </w:r>
    </w:p>
    <w:p w14:paraId="3A94EE68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- р.Ишим, расположенная в 0,1км северо-западнее участка.</w:t>
      </w:r>
    </w:p>
    <w:p w14:paraId="7E8ACFBD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В экономическом отношении район является сельскохозяйственным с зерновым уклоном.</w:t>
      </w:r>
    </w:p>
    <w:p w14:paraId="2E507C33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Промышленность сосредоточена в г.Астана и в районном центре Аршалы.</w:t>
      </w:r>
    </w:p>
    <w:p w14:paraId="60B971CA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В юго-западной части территории проходит железная дорога Караганда-Астана-Петропавловск. Шоссейная дорога с твердым покрытием связывает Астану с городами Караганда, Темиртау и поселками Осакаровка и Аршалы.</w:t>
      </w:r>
    </w:p>
    <w:p w14:paraId="454F343D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В последние годы в районе интенсивно развивается строительство автомобильных дорог, промышленное и гражданское строительство в г.Астане, в связи, с чем потребности в строительных материалах резко возросли.</w:t>
      </w:r>
    </w:p>
    <w:p w14:paraId="0A93EA8B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Из строительных материалов в районе известны месторождения строительных песков, строительного камня, кирпичных глин.</w:t>
      </w:r>
    </w:p>
    <w:p w14:paraId="67999CED" w14:textId="77777777" w:rsidR="005028B9" w:rsidRPr="00F901BF" w:rsidRDefault="005028B9" w:rsidP="005028B9">
      <w:pPr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Обзорная карта района работ представлена на рисунке 1.</w:t>
      </w:r>
    </w:p>
    <w:p w14:paraId="0B26266A" w14:textId="77777777" w:rsidR="005028B9" w:rsidRPr="00F901BF" w:rsidRDefault="005028B9" w:rsidP="005028B9">
      <w:pPr>
        <w:widowControl w:val="0"/>
        <w:autoSpaceDE w:val="0"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Координаты угловых точек лицензионной территории приведены в таблице 1.</w:t>
      </w:r>
    </w:p>
    <w:p w14:paraId="519C5CB7" w14:textId="77777777" w:rsidR="005028B9" w:rsidRPr="00F901BF" w:rsidRDefault="005028B9" w:rsidP="005028B9">
      <w:pPr>
        <w:widowControl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1</w:t>
      </w:r>
    </w:p>
    <w:p w14:paraId="769DB8C3" w14:textId="77777777" w:rsidR="005028B9" w:rsidRPr="00F901BF" w:rsidRDefault="005028B9" w:rsidP="005028B9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Географические координаты угловых точек лицензионной территории в системе координат СК-1942</w:t>
      </w:r>
    </w:p>
    <w:p w14:paraId="1BC5FA57" w14:textId="77777777" w:rsidR="005028B9" w:rsidRPr="00F901BF" w:rsidRDefault="005028B9" w:rsidP="005028B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972"/>
        <w:gridCol w:w="968"/>
        <w:gridCol w:w="915"/>
        <w:gridCol w:w="1014"/>
        <w:gridCol w:w="965"/>
        <w:gridCol w:w="1037"/>
        <w:gridCol w:w="1858"/>
      </w:tblGrid>
      <w:tr w:rsidR="005028B9" w:rsidRPr="00F901BF" w14:paraId="5464BCDF" w14:textId="77777777" w:rsidTr="007F7729">
        <w:trPr>
          <w:trHeight w:val="20"/>
          <w:jc w:val="center"/>
        </w:trPr>
        <w:tc>
          <w:tcPr>
            <w:tcW w:w="1454" w:type="dxa"/>
            <w:vMerge w:val="restart"/>
            <w:shd w:val="clear" w:color="auto" w:fill="FFFFFF"/>
            <w:vAlign w:val="center"/>
          </w:tcPr>
          <w:p w14:paraId="1521ABDB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№ точки</w:t>
            </w:r>
          </w:p>
        </w:tc>
        <w:tc>
          <w:tcPr>
            <w:tcW w:w="5871" w:type="dxa"/>
            <w:gridSpan w:val="6"/>
            <w:shd w:val="clear" w:color="auto" w:fill="FFFFFF"/>
            <w:vAlign w:val="center"/>
          </w:tcPr>
          <w:p w14:paraId="47CAB8A4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 </w:t>
            </w:r>
          </w:p>
        </w:tc>
        <w:tc>
          <w:tcPr>
            <w:tcW w:w="1858" w:type="dxa"/>
            <w:vMerge w:val="restart"/>
            <w:shd w:val="clear" w:color="auto" w:fill="FFFFFF"/>
          </w:tcPr>
          <w:p w14:paraId="471A3B60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Площадь, км</w:t>
            </w:r>
            <w:r w:rsidRPr="00F901B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5028B9" w:rsidRPr="00F901BF" w14:paraId="5D852AFF" w14:textId="77777777" w:rsidTr="007F7729">
        <w:trPr>
          <w:trHeight w:val="20"/>
          <w:jc w:val="center"/>
        </w:trPr>
        <w:tc>
          <w:tcPr>
            <w:tcW w:w="1454" w:type="dxa"/>
            <w:vMerge/>
            <w:shd w:val="clear" w:color="auto" w:fill="FFFFFF"/>
            <w:vAlign w:val="center"/>
          </w:tcPr>
          <w:p w14:paraId="37AE9F8A" w14:textId="77777777" w:rsidR="005028B9" w:rsidRPr="00F901BF" w:rsidRDefault="005028B9" w:rsidP="007F7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3"/>
            <w:shd w:val="clear" w:color="auto" w:fill="FFFFFF"/>
            <w:vAlign w:val="bottom"/>
          </w:tcPr>
          <w:p w14:paraId="412B338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Северная широта</w:t>
            </w:r>
          </w:p>
        </w:tc>
        <w:tc>
          <w:tcPr>
            <w:tcW w:w="3016" w:type="dxa"/>
            <w:gridSpan w:val="3"/>
            <w:shd w:val="clear" w:color="auto" w:fill="FFFFFF"/>
            <w:vAlign w:val="bottom"/>
          </w:tcPr>
          <w:p w14:paraId="31644C9C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Восточная долгота</w:t>
            </w:r>
          </w:p>
        </w:tc>
        <w:tc>
          <w:tcPr>
            <w:tcW w:w="1858" w:type="dxa"/>
            <w:vMerge/>
            <w:shd w:val="clear" w:color="auto" w:fill="FFFFFF"/>
          </w:tcPr>
          <w:p w14:paraId="6FDBC799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0CA75525" w14:textId="77777777" w:rsidTr="007F7729">
        <w:trPr>
          <w:trHeight w:val="20"/>
          <w:jc w:val="center"/>
        </w:trPr>
        <w:tc>
          <w:tcPr>
            <w:tcW w:w="1454" w:type="dxa"/>
            <w:vMerge/>
            <w:shd w:val="clear" w:color="auto" w:fill="FFFFFF"/>
            <w:vAlign w:val="center"/>
          </w:tcPr>
          <w:p w14:paraId="58CF6090" w14:textId="77777777" w:rsidR="005028B9" w:rsidRPr="00F901BF" w:rsidRDefault="005028B9" w:rsidP="007F7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FFFFFF"/>
            <w:vAlign w:val="bottom"/>
          </w:tcPr>
          <w:p w14:paraId="26B84BAE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град.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073C241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29420E1B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сек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6623E3AB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град.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09E20A5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3FB4533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сек</w:t>
            </w:r>
          </w:p>
        </w:tc>
        <w:tc>
          <w:tcPr>
            <w:tcW w:w="1858" w:type="dxa"/>
            <w:vMerge/>
            <w:shd w:val="clear" w:color="auto" w:fill="FFFFFF"/>
          </w:tcPr>
          <w:p w14:paraId="03E894F6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2B8DEB4A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0A7A33A0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0D1B4A09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6AF3E4A1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2996D88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1AFD2CA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7DA7B1D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255DE8B6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858" w:type="dxa"/>
            <w:vMerge w:val="restart"/>
            <w:shd w:val="clear" w:color="auto" w:fill="FFFFFF"/>
            <w:vAlign w:val="center"/>
          </w:tcPr>
          <w:p w14:paraId="1EB547B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0,112989</w:t>
            </w:r>
          </w:p>
        </w:tc>
      </w:tr>
      <w:tr w:rsidR="005028B9" w:rsidRPr="00F901BF" w14:paraId="0AE8FF84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7E883040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49AFF432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7E380032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456C7CCB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6DFC50A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03B03AB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AC9631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58" w:type="dxa"/>
            <w:vMerge/>
            <w:shd w:val="clear" w:color="auto" w:fill="FFFFFF"/>
          </w:tcPr>
          <w:p w14:paraId="3AEC00D7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0C490AA2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279F2267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1EF78CC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19E0937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57855E7E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3286FF0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7FF3C2E1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4588292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58" w:type="dxa"/>
            <w:vMerge/>
            <w:shd w:val="clear" w:color="auto" w:fill="FFFFFF"/>
          </w:tcPr>
          <w:p w14:paraId="13A06B82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107414E4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6929A95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7E533DAE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5A7247CD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6D396C9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4F07FD5A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008F4289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2F8374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58" w:type="dxa"/>
            <w:vMerge/>
            <w:shd w:val="clear" w:color="auto" w:fill="FFFFFF"/>
          </w:tcPr>
          <w:p w14:paraId="576D2011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45433E19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50522F6A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7BF1E55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09F974FC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4209AA9C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07E2EBF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2782BBD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5D6D1CE4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58" w:type="dxa"/>
            <w:vMerge/>
            <w:shd w:val="clear" w:color="auto" w:fill="FFFFFF"/>
          </w:tcPr>
          <w:p w14:paraId="3DFA4559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37993668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3FB22BF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314D3EE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7B730925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0732B97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4002E3BA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49E71EF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429B3BF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858" w:type="dxa"/>
            <w:vMerge/>
            <w:shd w:val="clear" w:color="auto" w:fill="FFFFFF"/>
          </w:tcPr>
          <w:p w14:paraId="5857B3CA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0AD7FD9B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0BC90E7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3B3BFD0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07662E84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761329E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583CA790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29F53554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3F0B8E37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1858" w:type="dxa"/>
            <w:vMerge/>
            <w:shd w:val="clear" w:color="auto" w:fill="FFFFFF"/>
          </w:tcPr>
          <w:p w14:paraId="395B9E63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B9" w:rsidRPr="00F901BF" w14:paraId="33EC5CA6" w14:textId="77777777" w:rsidTr="007F7729">
        <w:trPr>
          <w:trHeight w:val="20"/>
          <w:jc w:val="center"/>
        </w:trPr>
        <w:tc>
          <w:tcPr>
            <w:tcW w:w="1454" w:type="dxa"/>
            <w:shd w:val="clear" w:color="auto" w:fill="FFFFFF"/>
            <w:vAlign w:val="center"/>
          </w:tcPr>
          <w:p w14:paraId="1B28DB48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  <w:shd w:val="clear" w:color="auto" w:fill="FFFFFF"/>
            <w:vAlign w:val="bottom"/>
          </w:tcPr>
          <w:p w14:paraId="097126E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FFFFFF"/>
            <w:vAlign w:val="bottom"/>
          </w:tcPr>
          <w:p w14:paraId="54EF6721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FFFFFF"/>
            <w:vAlign w:val="bottom"/>
          </w:tcPr>
          <w:p w14:paraId="7F5441B0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5E6901EF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5" w:type="dxa"/>
            <w:shd w:val="clear" w:color="auto" w:fill="FFFFFF"/>
            <w:vAlign w:val="bottom"/>
          </w:tcPr>
          <w:p w14:paraId="7D7C178B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CA03B04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1BF">
              <w:rPr>
                <w:rFonts w:ascii="Times New Roman" w:hAnsi="Times New Roman"/>
                <w:sz w:val="24"/>
                <w:szCs w:val="24"/>
              </w:rPr>
              <w:t>17,3</w:t>
            </w:r>
          </w:p>
        </w:tc>
        <w:tc>
          <w:tcPr>
            <w:tcW w:w="1858" w:type="dxa"/>
            <w:vMerge/>
            <w:shd w:val="clear" w:color="auto" w:fill="FFFFFF"/>
          </w:tcPr>
          <w:p w14:paraId="4A04C452" w14:textId="77777777" w:rsidR="005028B9" w:rsidRPr="00F901BF" w:rsidRDefault="005028B9" w:rsidP="007F77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AB2480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A3EDF5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rPr>
          <w:rStyle w:val="FontStyle228"/>
          <w:rFonts w:ascii="Times New Roman" w:hAnsi="Times New Roman" w:cs="Times New Roman"/>
          <w:sz w:val="28"/>
          <w:szCs w:val="28"/>
        </w:rPr>
      </w:pPr>
      <w:r w:rsidRPr="00F901BF">
        <w:rPr>
          <w:rStyle w:val="FontStyle228"/>
          <w:rFonts w:ascii="Times New Roman" w:hAnsi="Times New Roman" w:cs="Times New Roman"/>
          <w:sz w:val="28"/>
          <w:szCs w:val="28"/>
        </w:rPr>
        <w:t xml:space="preserve">Территория района характеризуется слабой расчлененностью рельефа и общим уклоном поверхности с юга на север. Здесь выделяются две </w:t>
      </w:r>
      <w:r w:rsidRPr="00F901BF">
        <w:rPr>
          <w:rStyle w:val="FontStyle228"/>
          <w:rFonts w:ascii="Times New Roman" w:hAnsi="Times New Roman" w:cs="Times New Roman"/>
          <w:sz w:val="28"/>
          <w:szCs w:val="28"/>
        </w:rPr>
        <w:lastRenderedPageBreak/>
        <w:t>орографически различные области: слабоволнистая равнина - на юге и мелкосопочник - на западе и юго-востоке. На севере и юго-западной окраинах возвышается отдельные сопки и группы сопок, относительные превышения которых достигает 10-20м.</w:t>
      </w:r>
    </w:p>
    <w:p w14:paraId="20ECB755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28"/>
          <w:szCs w:val="28"/>
        </w:rPr>
      </w:pPr>
    </w:p>
    <w:p w14:paraId="3441FDF0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28"/>
          <w:szCs w:val="28"/>
        </w:rPr>
      </w:pPr>
      <w:r w:rsidRPr="00F901BF">
        <w:rPr>
          <w:rStyle w:val="FontStyle228"/>
          <w:rFonts w:ascii="Times New Roman" w:hAnsi="Times New Roman" w:cs="Times New Roman"/>
          <w:b/>
          <w:bCs/>
          <w:sz w:val="28"/>
          <w:szCs w:val="28"/>
        </w:rPr>
        <w:t>Обзорная карта</w:t>
      </w:r>
    </w:p>
    <w:p w14:paraId="62B7B3A8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Style w:val="FontStyle228"/>
          <w:rFonts w:ascii="Times New Roman" w:hAnsi="Times New Roman" w:cs="Times New Roman"/>
          <w:b/>
          <w:bCs/>
          <w:sz w:val="28"/>
          <w:szCs w:val="28"/>
        </w:rPr>
        <w:t>Масштаб 1:5000</w:t>
      </w:r>
    </w:p>
    <w:p w14:paraId="3C741B35" w14:textId="77777777" w:rsidR="005028B9" w:rsidRPr="00F901BF" w:rsidRDefault="005028B9" w:rsidP="005028B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2FA324" wp14:editId="7A9287BF">
            <wp:extent cx="5940425" cy="6110605"/>
            <wp:effectExtent l="0" t="0" r="3175" b="4445"/>
            <wp:docPr id="2094786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864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49EAA" w14:textId="77777777" w:rsidR="005028B9" w:rsidRPr="00F901BF" w:rsidRDefault="005028B9" w:rsidP="005028B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b/>
          <w:sz w:val="28"/>
          <w:szCs w:val="28"/>
        </w:rPr>
        <w:t>Рисунок 1</w:t>
      </w:r>
      <w:r w:rsidRPr="00F901B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C87B480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5D247D0C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2.</w:t>
      </w:r>
      <w:r w:rsidRPr="00F901BF">
        <w:rPr>
          <w:sz w:val="28"/>
          <w:szCs w:val="28"/>
        </w:rPr>
        <w:t xml:space="preserve"> </w:t>
      </w:r>
      <w:r w:rsidRPr="00F901BF">
        <w:rPr>
          <w:rFonts w:ascii="Times New Roman" w:hAnsi="Times New Roman" w:cs="Times New Roman"/>
          <w:b/>
          <w:sz w:val="28"/>
          <w:szCs w:val="28"/>
        </w:rPr>
        <w:t>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</w:t>
      </w:r>
    </w:p>
    <w:p w14:paraId="5BDE1A70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Ближайшие населенные пункты: - разъезд 42, расположенный в 3,5км юго-западнее участка.</w:t>
      </w:r>
    </w:p>
    <w:p w14:paraId="72A915CC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Наибольшая концентрация пылевых выбросов и шумового воздействия возможна непосредственно в пределах участка горных работ. Вне этих участков перенос загрязняющих веществ в окружающую среду ограничен и локален.</w:t>
      </w:r>
    </w:p>
    <w:p w14:paraId="5BB62E84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Сбросы загрязняющих веществ в водные объекты при реализации намечаемой деятельности не предусматриваются. Возможные изменения затрагивают лишь земельные ресурсы в границах отвода. Таким образом, негативное воздействие деятельности носит локальный характер и ограничивается непосредственно территорией месторождения и прилегающими производственными участками.</w:t>
      </w:r>
    </w:p>
    <w:p w14:paraId="77235E15" w14:textId="77777777" w:rsidR="005028B9" w:rsidRPr="00F901BF" w:rsidRDefault="005028B9" w:rsidP="005028B9">
      <w:pPr>
        <w:pStyle w:val="af"/>
        <w:spacing w:after="0"/>
        <w:rPr>
          <w:szCs w:val="28"/>
        </w:rPr>
      </w:pPr>
    </w:p>
    <w:p w14:paraId="22DD4D8F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3. Наименование инициатора намечаемой деятельности, его контактные данные</w:t>
      </w:r>
    </w:p>
    <w:p w14:paraId="1EF5193A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ТОО «Агро LTD 2017», расположенному по адресу: Республика Казахстан, Карагандинская область, Темиртау г., ул. САРЫАРКА, дом № 12. тел. 8 776 100 30 39. E-mail: agroltd2017@mail.ru</w:t>
      </w:r>
    </w:p>
    <w:p w14:paraId="3BD59B57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0CB52735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4. Краткое описание намечаемой деятельности</w:t>
      </w:r>
    </w:p>
    <w:p w14:paraId="1CADE47D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F901BF">
        <w:rPr>
          <w:rFonts w:ascii="Times New Roman" w:hAnsi="Times New Roman" w:cs="Times New Roman"/>
          <w:bCs/>
          <w:sz w:val="28"/>
          <w:szCs w:val="28"/>
        </w:rPr>
        <w:t>добыча строительного песка на участке Восточный (блок 7С1) месторождения Волгодоновское, расположенного в Аршалынском районе Акмолинской области.</w:t>
      </w:r>
    </w:p>
    <w:p w14:paraId="562346C8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225F496A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 xml:space="preserve"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 </w:t>
      </w:r>
    </w:p>
    <w:p w14:paraId="3C902A6B" w14:textId="77777777" w:rsidR="005028B9" w:rsidRPr="00F901BF" w:rsidRDefault="005028B9" w:rsidP="005028B9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Благоприятные горно-геологические условия предопределили открытый способ разработки песка 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участке </w:t>
      </w:r>
      <w:r w:rsidRPr="00F901BF">
        <w:rPr>
          <w:rStyle w:val="FontStyle30"/>
          <w:rFonts w:ascii="Times New Roman" w:hAnsi="Times New Roman" w:cs="Times New Roman"/>
          <w:sz w:val="28"/>
          <w:szCs w:val="28"/>
        </w:rPr>
        <w:t>Восточный (блок 7С</w:t>
      </w:r>
      <w:r w:rsidRPr="00F901BF">
        <w:rPr>
          <w:rStyle w:val="FontStyle30"/>
          <w:rFonts w:ascii="Times New Roman" w:hAnsi="Times New Roman" w:cs="Times New Roman"/>
          <w:sz w:val="28"/>
          <w:szCs w:val="28"/>
          <w:vertAlign w:val="subscript"/>
        </w:rPr>
        <w:t>1</w:t>
      </w:r>
      <w:r w:rsidRPr="00F901BF">
        <w:rPr>
          <w:rStyle w:val="FontStyle30"/>
          <w:rFonts w:ascii="Times New Roman" w:hAnsi="Times New Roman" w:cs="Times New Roman"/>
          <w:sz w:val="28"/>
          <w:szCs w:val="28"/>
        </w:rPr>
        <w:t>)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месторождения Волгодоновское</w:t>
      </w:r>
      <w:r w:rsidRPr="00F901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B82C95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right="1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>За выемочную единицу разработки принимается уступ.</w:t>
      </w:r>
    </w:p>
    <w:p w14:paraId="1192FE37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right="17" w:firstLine="709"/>
        <w:rPr>
          <w:rFonts w:ascii="Times New Roman" w:eastAsia="Times New Roman" w:hAnsi="Times New Roman" w:cs="Times New Roman"/>
          <w:sz w:val="28"/>
        </w:rPr>
      </w:pPr>
      <w:r w:rsidRPr="00F901BF">
        <w:rPr>
          <w:rFonts w:ascii="Times New Roman" w:eastAsia="Times New Roman" w:hAnsi="Times New Roman" w:cs="Times New Roman"/>
          <w:sz w:val="28"/>
        </w:rPr>
        <w:t xml:space="preserve">Средняя мощность покрывающих пород 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участке </w:t>
      </w:r>
      <w:r w:rsidRPr="00F901BF">
        <w:rPr>
          <w:rStyle w:val="FontStyle30"/>
          <w:rFonts w:ascii="Times New Roman" w:hAnsi="Times New Roman" w:cs="Times New Roman"/>
          <w:sz w:val="28"/>
          <w:szCs w:val="28"/>
        </w:rPr>
        <w:t>Восточный (блок 7С</w:t>
      </w:r>
      <w:r w:rsidRPr="00F901BF">
        <w:rPr>
          <w:rStyle w:val="FontStyle30"/>
          <w:rFonts w:ascii="Times New Roman" w:hAnsi="Times New Roman" w:cs="Times New Roman"/>
          <w:sz w:val="28"/>
          <w:szCs w:val="28"/>
          <w:vertAlign w:val="subscript"/>
        </w:rPr>
        <w:t>1</w:t>
      </w:r>
      <w:r w:rsidRPr="00F901BF">
        <w:rPr>
          <w:rStyle w:val="FontStyle30"/>
          <w:rFonts w:ascii="Times New Roman" w:hAnsi="Times New Roman" w:cs="Times New Roman"/>
          <w:sz w:val="28"/>
          <w:szCs w:val="28"/>
        </w:rPr>
        <w:t xml:space="preserve">) 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месторождения Волгодоновское</w:t>
      </w:r>
      <w:r w:rsidRPr="00F901BF">
        <w:rPr>
          <w:rFonts w:ascii="Times New Roman" w:eastAsia="Times New Roman" w:hAnsi="Times New Roman" w:cs="Times New Roman"/>
          <w:sz w:val="28"/>
        </w:rPr>
        <w:t xml:space="preserve"> - 0,2м, вскрышных пород – 1,3м.</w:t>
      </w:r>
    </w:p>
    <w:p w14:paraId="4F2F2C4B" w14:textId="77777777" w:rsidR="005028B9" w:rsidRPr="00F901BF" w:rsidRDefault="005028B9" w:rsidP="005028B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>Карьер не имеет единую гипсометрическую отметку дна. Карьер с однородными геологическими условиями, отработка которых осуществляется принятой в данном плане единой системой разработки и технологической схемой выемки. В пределах выемочной единицы с достаточной достоверностью определены запасы и возможен первичный учет извлечения полезных ископаемых.</w:t>
      </w:r>
    </w:p>
    <w:p w14:paraId="5FC31F72" w14:textId="77777777" w:rsidR="005028B9" w:rsidRPr="00F901BF" w:rsidRDefault="005028B9" w:rsidP="005028B9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>Построение контура карьера выполнено графическим методом с учетом морфологии, рельефа месторождения, мощности покрывающих, вскрышных пород и полезного ископаемого, гидрогеологических условий.</w:t>
      </w:r>
    </w:p>
    <w:p w14:paraId="5B9A4F53" w14:textId="77777777" w:rsidR="005028B9" w:rsidRPr="00F901BF" w:rsidRDefault="005028B9" w:rsidP="005028B9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>За нижнюю границу отработки данного месторождения в настоящем плане принята граница подсчета запасов.</w:t>
      </w:r>
    </w:p>
    <w:p w14:paraId="49E2071B" w14:textId="77777777" w:rsidR="005028B9" w:rsidRPr="00F901BF" w:rsidRDefault="005028B9" w:rsidP="005028B9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</w:rPr>
        <w:t xml:space="preserve">Месторождение обводнено. 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Площадь месторождения составляет – 11,2989га, максимальная глубина отработки – 11,8м. Режим горных работ на участке принимается – круглогодичный. Рабочая неделя пятидневная с продолжительностью смены 8 часов, односменный режим работ. </w:t>
      </w:r>
      <w:r w:rsidRPr="00F901BF">
        <w:rPr>
          <w:rFonts w:ascii="Times New Roman" w:eastAsia="Times New Roman" w:hAnsi="Times New Roman" w:cs="Times New Roman"/>
          <w:sz w:val="28"/>
          <w:szCs w:val="20"/>
        </w:rPr>
        <w:t xml:space="preserve">Годовой объем добычи </w:t>
      </w:r>
      <w:r w:rsidRPr="00F901B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горнотехническими условиями и </w:t>
      </w:r>
      <w:r w:rsidRPr="00F901BF">
        <w:rPr>
          <w:rFonts w:ascii="Times New Roman" w:eastAsia="Times New Roman" w:hAnsi="Times New Roman" w:cs="Times New Roman"/>
          <w:sz w:val="28"/>
          <w:szCs w:val="20"/>
        </w:rPr>
        <w:t xml:space="preserve">по согласованию с заказчиком принимается: </w:t>
      </w:r>
      <w:r w:rsidRPr="00F901BF">
        <w:rPr>
          <w:rFonts w:ascii="Times New Roman" w:eastAsia="Times New Roman" w:hAnsi="Times New Roman" w:cs="Times New Roman"/>
          <w:sz w:val="28"/>
          <w:szCs w:val="28"/>
        </w:rPr>
        <w:t xml:space="preserve">2026-2035гг – </w:t>
      </w:r>
      <w:proofErr w:type="gramStart"/>
      <w:r w:rsidRPr="00F901BF">
        <w:rPr>
          <w:rFonts w:ascii="Times New Roman" w:eastAsia="Times New Roman" w:hAnsi="Times New Roman" w:cs="Times New Roman"/>
          <w:sz w:val="28"/>
          <w:szCs w:val="28"/>
        </w:rPr>
        <w:t>68,47тыс.м</w:t>
      </w:r>
      <w:proofErr w:type="gramEnd"/>
      <w:r w:rsidRPr="00F901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901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отработки месторождения составит 10 лет.</w:t>
      </w:r>
    </w:p>
    <w:p w14:paraId="7F377C7C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EAF8D8C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F901BF">
        <w:rPr>
          <w:rFonts w:ascii="Times New Roman" w:hAnsi="Times New Roman"/>
          <w:b/>
          <w:sz w:val="28"/>
          <w:szCs w:val="28"/>
        </w:rPr>
        <w:t xml:space="preserve"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 </w:t>
      </w:r>
    </w:p>
    <w:p w14:paraId="7FD5E7EE" w14:textId="77777777" w:rsidR="005028B9" w:rsidRPr="00F901BF" w:rsidRDefault="005028B9" w:rsidP="005028B9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Производство горно-капитальных работ (ГКР) на карьере осуществляется оборудованием, подобным предусмотренному и для их эксплуатации.</w:t>
      </w:r>
    </w:p>
    <w:p w14:paraId="4C2F9EE1" w14:textId="77777777" w:rsidR="005028B9" w:rsidRPr="00F901BF" w:rsidRDefault="005028B9" w:rsidP="005028B9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Принятые проектные решения в части режима работы и системы разработки карьера в целом остаются обязательными и для производства ГКР.</w:t>
      </w:r>
    </w:p>
    <w:p w14:paraId="59EEFCAC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Таким образом, работы по подготовке месторождения заключаются в снятии покрывающих пород, представленных почвенно-растительным слоем и вскрышных пород, представленных </w:t>
      </w:r>
      <w:r w:rsidRPr="00F901BF">
        <w:rPr>
          <w:rStyle w:val="FontStyle930"/>
        </w:rPr>
        <w:t>суглинками, супесями и глинами</w:t>
      </w: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06031A5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Почвенно-растительный слой срезается бульдозером и перемещается за границы карьерного поля, где он формируется в компактные отвалы (бурты), располагаемые вдоль границ карьера. </w:t>
      </w:r>
    </w:p>
    <w:p w14:paraId="455D54A4" w14:textId="77777777" w:rsidR="005028B9" w:rsidRPr="00F901BF" w:rsidRDefault="005028B9" w:rsidP="005028B9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Вскрышные породы вскрываются экскаватором, затем грузятся в автосамосвал и вывозится на вскрышной отвал.</w:t>
      </w:r>
    </w:p>
    <w:p w14:paraId="2884FF48" w14:textId="77777777" w:rsidR="005028B9" w:rsidRPr="00F901BF" w:rsidRDefault="005028B9" w:rsidP="005028B9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Производительность карьера на вскрышных работах определилась с учетом технологии ведения горных работ, запасов песка и коэффициента вскрыши.</w:t>
      </w:r>
    </w:p>
    <w:p w14:paraId="11422F9F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Предусматривается следующий порядок ведения горных работ на карьере:</w:t>
      </w:r>
    </w:p>
    <w:p w14:paraId="33299EA9" w14:textId="77777777" w:rsidR="005028B9" w:rsidRPr="00F901BF" w:rsidRDefault="005028B9" w:rsidP="005028B9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Для осуществления последующих рекультивационных работ почвенно-растительный слой будет складироваться во временные отвалы (бурты).</w:t>
      </w:r>
    </w:p>
    <w:p w14:paraId="5EB88033" w14:textId="77777777" w:rsidR="005028B9" w:rsidRPr="00F901BF" w:rsidRDefault="005028B9" w:rsidP="005028B9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Выемка вскрышных пород, с последующей транспортировкой на вскрышной отвал;</w:t>
      </w:r>
    </w:p>
    <w:p w14:paraId="671B1751" w14:textId="77777777" w:rsidR="005028B9" w:rsidRPr="00F901BF" w:rsidRDefault="005028B9" w:rsidP="005028B9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Выемка и складирование полезного ископаемого на площадки для обезвоживания.</w:t>
      </w:r>
    </w:p>
    <w:p w14:paraId="155A62C2" w14:textId="77777777" w:rsidR="005028B9" w:rsidRPr="00F901BF" w:rsidRDefault="005028B9" w:rsidP="005028B9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Погрузка полезного ископаемого в автосамосвалы.</w:t>
      </w:r>
    </w:p>
    <w:p w14:paraId="478B6845" w14:textId="77777777" w:rsidR="005028B9" w:rsidRPr="00F901BF" w:rsidRDefault="005028B9" w:rsidP="005028B9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Транспортировка полезного ископаемого на склад готовой продукции.</w:t>
      </w:r>
    </w:p>
    <w:p w14:paraId="4A2BF6F5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Для выполнения годовых объемов по приведенному порядку горных работ предусматриваются следующие типы и модели горного и транспортного оборудования:</w:t>
      </w:r>
    </w:p>
    <w:p w14:paraId="13ADF152" w14:textId="77777777" w:rsidR="005028B9" w:rsidRPr="00F901BF" w:rsidRDefault="005028B9" w:rsidP="005028B9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- экскаватор Komatsu PC300 – 1 ед.;</w:t>
      </w:r>
    </w:p>
    <w:p w14:paraId="130F81E0" w14:textId="77777777" w:rsidR="005028B9" w:rsidRPr="00F901BF" w:rsidRDefault="005028B9" w:rsidP="005028B9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погрузчик LiuGong ZL30E – 1ед;</w:t>
      </w:r>
    </w:p>
    <w:p w14:paraId="54F632DC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- автосамосвал SHACMAN – 6</w:t>
      </w: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ед.;</w:t>
      </w:r>
    </w:p>
    <w:p w14:paraId="0409FC84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F901BF">
        <w:rPr>
          <w:rFonts w:ascii="Times New Roman" w:eastAsia="Arial" w:hAnsi="Times New Roman" w:cs="Times New Roman"/>
          <w:sz w:val="28"/>
          <w:szCs w:val="28"/>
          <w:lang w:eastAsia="ar-SA"/>
        </w:rPr>
        <w:t>- бульдозер Shantui SD16 – 1ед.</w:t>
      </w:r>
    </w:p>
    <w:p w14:paraId="0E28F839" w14:textId="77777777" w:rsidR="005028B9" w:rsidRPr="00F901BF" w:rsidRDefault="005028B9" w:rsidP="005028B9">
      <w:pPr>
        <w:pStyle w:val="af"/>
        <w:spacing w:after="0"/>
        <w:rPr>
          <w:rFonts w:eastAsiaTheme="minorEastAsia" w:cstheme="minorBidi"/>
          <w:szCs w:val="28"/>
        </w:rPr>
      </w:pPr>
    </w:p>
    <w:p w14:paraId="54C752E3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Примерная площадь земельного участка, необходимого для осуществления намечаемой деятельности</w:t>
      </w:r>
    </w:p>
    <w:p w14:paraId="7DC3A06F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П Площадь месторождения составляет – 11,2989га, максимальная глубина отработки – 11,8м.</w:t>
      </w:r>
    </w:p>
    <w:p w14:paraId="54EEB796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505D9AB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2C7C6FB5" w14:textId="77777777" w:rsidR="005028B9" w:rsidRPr="00F901BF" w:rsidRDefault="005028B9" w:rsidP="005028B9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01BF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геолого-литологическое строение района и непосредственно участка работ, а также вид полезного ископаемого и его качество, альтернатив по переносу и выбору участков не имеются.</w:t>
      </w:r>
    </w:p>
    <w:p w14:paraId="3CD62C86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F76EC3D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</w:t>
      </w:r>
    </w:p>
    <w:p w14:paraId="1051DF04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Жизнь и (или) здоровье людей, условия их проживания и деятельности.</w:t>
      </w:r>
    </w:p>
    <w:p w14:paraId="2FE563DC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По результатам расчетов выбросов загрязняющих веществ и их рассеивании в приземном слое атмосферы, превышений ПДК на границе СЗЗ нет.</w:t>
      </w:r>
    </w:p>
    <w:p w14:paraId="0E34CCBC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трудящихся. </w:t>
      </w:r>
    </w:p>
    <w:p w14:paraId="1A9F0BA9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Исходя из выше сказанного, воздействие на жизнь и здоровье людей, а также условия их проживания и деятельности оценивается как </w:t>
      </w:r>
      <w:r w:rsidRPr="00F901BF">
        <w:rPr>
          <w:i/>
          <w:iCs/>
          <w:szCs w:val="28"/>
        </w:rPr>
        <w:t>незначительное</w:t>
      </w:r>
      <w:r w:rsidRPr="00F901BF">
        <w:rPr>
          <w:szCs w:val="28"/>
        </w:rPr>
        <w:t>.</w:t>
      </w:r>
    </w:p>
    <w:p w14:paraId="628F112F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14:paraId="25931A28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Изменения видового состава растительности, ее состояния, продуктивности сообществ в районе намечаемой деятельности исключается. Оператор объекта будет выполнять работы, с условием минимального воздействия на любой вид растительности и строго в границах земельного отвода.</w:t>
      </w:r>
    </w:p>
    <w:p w14:paraId="175F4175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Для исключения физического уничтожения растительности Планом горных работ предусмотрено снятие плодородного слоя почвы. Снятый слой почвы будет заскладирован в бурты и использоваться для последующей рекультивации нарушенных земель.</w:t>
      </w:r>
    </w:p>
    <w:p w14:paraId="3C5EDF93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lastRenderedPageBreak/>
        <w:t>С учетом природоохранных мероприятий проведение работ на участке не повлечет за собой изменение видового состава и численности животного мира.</w:t>
      </w:r>
    </w:p>
    <w:p w14:paraId="1EB3DB7A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Следовательно, при проведении работ, существенного негативного влияния на растительный и животный мир не произойдет, воздействие </w:t>
      </w:r>
      <w:r w:rsidRPr="00F901BF">
        <w:rPr>
          <w:i/>
          <w:iCs/>
          <w:szCs w:val="28"/>
        </w:rPr>
        <w:t>допустимое</w:t>
      </w:r>
      <w:r w:rsidRPr="00F901BF">
        <w:rPr>
          <w:szCs w:val="28"/>
        </w:rPr>
        <w:t>.</w:t>
      </w:r>
    </w:p>
    <w:p w14:paraId="74F79F53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Генетические ресурсы</w:t>
      </w:r>
    </w:p>
    <w:p w14:paraId="5AA82258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В технологическом процессе работ на участке генетические ресурсы не используются.</w:t>
      </w:r>
    </w:p>
    <w:p w14:paraId="7F3A7915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Природные ареалы растений и диких животных, пути миграции диких животных, экосистемы</w:t>
      </w:r>
    </w:p>
    <w:p w14:paraId="01442926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При проведении работ на участке строго будут соблюдаться охранные мероприятия по сохранению растительности и животного мира, улучшению состояния встречающихся растительных и животных сообществ и их воспроизводству.</w:t>
      </w:r>
    </w:p>
    <w:p w14:paraId="2EEB3680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Немаловажное значение для животных, обитающих в районе месторождения, будут иметь находящиеся на месторождении трудящиеся. Поэтому наряду с усилением охраны растительного и животного мира необходимо проводить экологическое воспитание рабочих и служащих.</w:t>
      </w:r>
    </w:p>
    <w:p w14:paraId="10969FF9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Для снижения воздействия на растительный и животный мир после прекращения работ на месторождении, предусматривается рекультивация нарушенных земель. В связи с этим, воздействие намечаемой деятельности на растительный и животный мир оценивается как </w:t>
      </w:r>
      <w:r w:rsidRPr="00F901BF">
        <w:rPr>
          <w:i/>
          <w:szCs w:val="28"/>
        </w:rPr>
        <w:t>допустимое</w:t>
      </w:r>
      <w:r w:rsidRPr="00F901BF">
        <w:rPr>
          <w:szCs w:val="28"/>
        </w:rPr>
        <w:t>.</w:t>
      </w:r>
    </w:p>
    <w:p w14:paraId="7D83DFC5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472C75A0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деградации).</w:t>
      </w:r>
    </w:p>
    <w:p w14:paraId="0FA95052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На территории объекта отсутствуют земли оздоровительного, рекреационного и историко-культурного назначения. </w:t>
      </w:r>
    </w:p>
    <w:p w14:paraId="6D7B216B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Дополнительного изъятия земель проектом не предусмотрено.</w:t>
      </w:r>
    </w:p>
    <w:p w14:paraId="27BDF897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3DF66FEE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Почвы (в том числе органический состав, эрозию, уплотнение, иные формы деградации)</w:t>
      </w:r>
    </w:p>
    <w:p w14:paraId="3230C458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Прямое воздействие на почвы района расположения объекта производится при работах. Косвенное воздействие производится в результате выбросов загрязняющих веществ.</w:t>
      </w:r>
    </w:p>
    <w:p w14:paraId="13E9375E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Для предотвращения ветровой эрозии предусмотрено орошение водой рабочих мест ведения работ поливочной машиной. </w:t>
      </w:r>
    </w:p>
    <w:p w14:paraId="74FDCAFD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После окончания работ будет предусмотрена рекультивация нарушаемых земель. </w:t>
      </w:r>
    </w:p>
    <w:p w14:paraId="476154CE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Воздействие </w:t>
      </w:r>
      <w:r w:rsidRPr="00F901BF">
        <w:rPr>
          <w:i/>
          <w:szCs w:val="28"/>
        </w:rPr>
        <w:t>допустимое</w:t>
      </w:r>
      <w:r w:rsidRPr="00F901BF">
        <w:rPr>
          <w:szCs w:val="28"/>
        </w:rPr>
        <w:t>.</w:t>
      </w:r>
    </w:p>
    <w:p w14:paraId="7BFF3747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08F893D6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901BF">
        <w:rPr>
          <w:rFonts w:ascii="Times New Roman" w:hAnsi="Times New Roman" w:cs="Times New Roman"/>
          <w:sz w:val="28"/>
          <w:szCs w:val="28"/>
          <w:u w:val="single"/>
        </w:rPr>
        <w:t>Воды (в том числе гидроморфологические изменения, количество и качество вод)</w:t>
      </w:r>
    </w:p>
    <w:p w14:paraId="434C21BA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lastRenderedPageBreak/>
        <w:t>Ближайший водный объект - р.Ишим, расположенная в 0,1 км северо- западнее от участка.</w:t>
      </w:r>
    </w:p>
    <w:p w14:paraId="5AB6C41F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Рассматриваемый объект находятся в водоохранной зоне р. Ишим. Водоохранная зона и полоса для реки Ишим установлена Постановлением акимата Акмолинской области от 3 мая 2022 года № А-5/222, и составляет - водоохранная зона 500-1000 м и водоохранная полос 50-100 м.</w:t>
      </w:r>
    </w:p>
    <w:p w14:paraId="308EB427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Угроза загрязнения подземных и поверхностных вод в процессе проведения оценочных работ на участке разведки сведена к минимуму, учитывая особенности технологических операций, не предусматривающих образование производственных стоков. </w:t>
      </w:r>
    </w:p>
    <w:p w14:paraId="6DA1FC4E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района.</w:t>
      </w:r>
    </w:p>
    <w:p w14:paraId="7A5928C1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497D6E05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Атмосферный воздух</w:t>
      </w:r>
    </w:p>
    <w:p w14:paraId="6BF2A409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Основными объектами пылеобразования при горнопроходческих работах.</w:t>
      </w:r>
    </w:p>
    <w:p w14:paraId="568BCE87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Казахстан:</w:t>
      </w:r>
    </w:p>
    <w:p w14:paraId="4C7EE231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- п.1, п.п.3 - выполнение мероприятий по предотвращению и снижению выбросов загрязняющих веществ от стационарных источников.</w:t>
      </w:r>
    </w:p>
    <w:p w14:paraId="3AB840C7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При высыхании буртов ПРС и вскрышных пород с целью снижения запыления воздушной среды, в сухую ветреную погоду будет организован полив отвалов водой.</w:t>
      </w:r>
    </w:p>
    <w:p w14:paraId="4999D701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- п.1, п.п.9 - проведение работ по пылеподавлению на технологических дорогах, на рабочих площадках.</w:t>
      </w:r>
    </w:p>
    <w:p w14:paraId="2DDA0A7F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В сухое летнее время с целью снижения запыленности воздушной среды будет организовано пылеподавление на технологических дорогах и рабочих площадках недропользования, увлажнение взорванной горной массы экскаваторных забоев водой. Вследствие применения операций по пылеподавлению, влажность транспортируемого полезного ископаемого составит более 10%, что позволит снизить пыление при их транспортировке. Полив технологических дорог также позволит снизить пыление от колес автосамосвалов, задействованных для транспортировки полезного ископаемого.</w:t>
      </w:r>
    </w:p>
    <w:p w14:paraId="20D16868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Воздействие намечаемой деятельности на атмосферный воздух оценивается как </w:t>
      </w:r>
      <w:r w:rsidRPr="00F901BF">
        <w:rPr>
          <w:i/>
          <w:szCs w:val="28"/>
        </w:rPr>
        <w:t>незначительное</w:t>
      </w:r>
      <w:r w:rsidRPr="00F901BF">
        <w:rPr>
          <w:szCs w:val="28"/>
        </w:rPr>
        <w:t>.</w:t>
      </w:r>
    </w:p>
    <w:p w14:paraId="1C9F0F16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1D128667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>Сопротивляемость к изменению климата экологических и социально-экономических систем</w:t>
      </w:r>
    </w:p>
    <w:p w14:paraId="6ABAD4DD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Проведение ГРР будет оказывать положительный эффект в первую очередь, на областном и местном уровне воздействий. </w:t>
      </w:r>
    </w:p>
    <w:p w14:paraId="1C850C03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lastRenderedPageBreak/>
        <w:t>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</w:r>
    </w:p>
    <w:p w14:paraId="372A8DE1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Экономическая деятельность оказывает прямое и косвенное благоприятное воздействие на финансовое положение области (увеличению поступлений денежных средств в местный бюджет, развитию системы пенсионного обеспечения, образования и здравоохранения). </w:t>
      </w:r>
    </w:p>
    <w:p w14:paraId="7691D2D1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53519336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 xml:space="preserve">Материальные активы, объекты историко-культурного наследия (в том числе архитектурные и археологические), ландшафты. </w:t>
      </w:r>
    </w:p>
    <w:p w14:paraId="7B895F0C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Предлагаемый вариант работ рассчитан на срок отработки 10 лет (2026-2035 г.). </w:t>
      </w:r>
    </w:p>
    <w:p w14:paraId="601046CB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 xml:space="preserve">Отработка месторождений потребует больших затрат для обеспечения надежности и безопасности производственного процесса. Финансирование будет осуществляться за счёт собственных и привлеченных финансовых средств. </w:t>
      </w:r>
    </w:p>
    <w:p w14:paraId="6B78C843" w14:textId="77777777" w:rsidR="005028B9" w:rsidRPr="00F901BF" w:rsidRDefault="005028B9" w:rsidP="005028B9">
      <w:pPr>
        <w:pStyle w:val="af"/>
        <w:rPr>
          <w:szCs w:val="28"/>
          <w:u w:val="single"/>
        </w:rPr>
      </w:pPr>
    </w:p>
    <w:p w14:paraId="13A7AF79" w14:textId="77777777" w:rsidR="005028B9" w:rsidRPr="00F901BF" w:rsidRDefault="005028B9" w:rsidP="005028B9">
      <w:pPr>
        <w:pStyle w:val="af"/>
        <w:rPr>
          <w:szCs w:val="28"/>
          <w:u w:val="single"/>
        </w:rPr>
      </w:pPr>
      <w:r w:rsidRPr="00F901BF">
        <w:rPr>
          <w:szCs w:val="28"/>
          <w:u w:val="single"/>
        </w:rPr>
        <w:t xml:space="preserve">Ландшафты, а также взаимодействие указанных объектов </w:t>
      </w:r>
    </w:p>
    <w:p w14:paraId="2303759F" w14:textId="77777777" w:rsidR="005028B9" w:rsidRPr="00F901BF" w:rsidRDefault="005028B9" w:rsidP="005028B9">
      <w:pPr>
        <w:pStyle w:val="af"/>
        <w:spacing w:after="0"/>
        <w:rPr>
          <w:szCs w:val="28"/>
        </w:rPr>
      </w:pPr>
      <w:r w:rsidRPr="00F901BF">
        <w:rPr>
          <w:szCs w:val="28"/>
        </w:rPr>
        <w:t>На территории Акмолинской области выделяются лесостепная (колочная лесостепь), степень и сухостепная природные зоны.</w:t>
      </w:r>
    </w:p>
    <w:p w14:paraId="56C4253C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lang w:eastAsia="en-US"/>
        </w:rPr>
        <w:t>Территория Акмолинской области характеризуется преобладанием увалисто-холмисто-мелкосопочным рельефом. Северную часть занимает возвышенность Кокшетау, с общим уклоном местности – с востока на запад. На крайнем юго- востоке расположены горы Ерейментау. Северо-западная часть (прилегающая к долине Есиль, на участке ее поворота к северу) представляет равнинное плато, расчлененное сухими оврагами и балками. Крайняя северо-восточная часть Акмолинской области лежит в пределах Западно-Сибирской низменности.</w:t>
      </w:r>
    </w:p>
    <w:p w14:paraId="3DD54BC9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AC92175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51154B43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Атмосферный воздух</w:t>
      </w:r>
    </w:p>
    <w:p w14:paraId="38F5274D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hAnsi="Times New Roman"/>
          <w:sz w:val="28"/>
          <w:szCs w:val="28"/>
        </w:rPr>
        <w:t xml:space="preserve">В выбросах, отходящих от источников загрязнения атмосферного воздуха предприятия, содержится 9 загрязняющих веществ, с учетом передвижных источников: </w:t>
      </w:r>
    </w:p>
    <w:p w14:paraId="2FF18645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1. Азота (IV) диоксид (Азота диоксид) (4);</w:t>
      </w:r>
    </w:p>
    <w:p w14:paraId="5FB8E1FA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2. Азот (II) оксид (Азота оксид) (6);</w:t>
      </w:r>
    </w:p>
    <w:p w14:paraId="52C216A6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3. Углерод (Сажа, Углерод черный) (583);</w:t>
      </w:r>
    </w:p>
    <w:p w14:paraId="7AEBCE8B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4. Сера диоксид (Ангидрид сернистый, Сернистый газ, Сера (IV) оксид) (516);</w:t>
      </w:r>
    </w:p>
    <w:p w14:paraId="435FAE72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5. Сероводород (Дигидросульфид) (518);</w:t>
      </w:r>
    </w:p>
    <w:p w14:paraId="48B4204F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6. Углерод оксид (Окись углерода, Угарный газ) (584);</w:t>
      </w:r>
    </w:p>
    <w:p w14:paraId="414848D2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7. Керосин (654*)</w:t>
      </w:r>
    </w:p>
    <w:p w14:paraId="0D1E7D21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lastRenderedPageBreak/>
        <w:t>8. Алканы С12-19 /в пересчете на С/ (Углеводороды предельные С12-С19 (в пересчете на С); Растворитель РПК-265П) (10);</w:t>
      </w:r>
    </w:p>
    <w:p w14:paraId="65B3107C" w14:textId="77777777" w:rsidR="005028B9" w:rsidRPr="00F901BF" w:rsidRDefault="005028B9" w:rsidP="005028B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9. 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(494).</w:t>
      </w:r>
    </w:p>
    <w:p w14:paraId="218C596A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Эффектом суммации вредного</w:t>
      </w:r>
      <w:r w:rsidRPr="00F901BF">
        <w:rPr>
          <w:rFonts w:ascii="Times New Roman" w:hAnsi="Times New Roman"/>
          <w:sz w:val="28"/>
          <w:szCs w:val="28"/>
        </w:rPr>
        <w:t xml:space="preserve"> действия обладает 3 группы веществ: </w:t>
      </w:r>
    </w:p>
    <w:p w14:paraId="204EEE5C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hAnsi="Times New Roman"/>
          <w:sz w:val="28"/>
          <w:szCs w:val="28"/>
        </w:rPr>
        <w:t xml:space="preserve">- 07 (31): азота диоксид и сера диоксид; </w:t>
      </w:r>
    </w:p>
    <w:p w14:paraId="0F1AF167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hAnsi="Times New Roman"/>
          <w:sz w:val="28"/>
          <w:szCs w:val="28"/>
        </w:rPr>
        <w:t xml:space="preserve">- 37 (39): сероводород и формальдегид; </w:t>
      </w:r>
    </w:p>
    <w:p w14:paraId="17ABB5D1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901BF">
        <w:rPr>
          <w:rFonts w:ascii="Times New Roman" w:hAnsi="Times New Roman"/>
          <w:sz w:val="28"/>
          <w:szCs w:val="28"/>
        </w:rPr>
        <w:t xml:space="preserve">- 44 (30): </w:t>
      </w:r>
      <w:r w:rsidRPr="00F901BF">
        <w:rPr>
          <w:rFonts w:ascii="Times New Roman" w:hAnsi="Times New Roman" w:cs="Times New Roman"/>
          <w:sz w:val="28"/>
          <w:szCs w:val="28"/>
        </w:rPr>
        <w:t>сера диоксид и сероводород</w:t>
      </w:r>
      <w:r w:rsidRPr="00F901BF">
        <w:rPr>
          <w:rFonts w:ascii="Times New Roman" w:hAnsi="Times New Roman"/>
          <w:sz w:val="28"/>
          <w:szCs w:val="28"/>
        </w:rPr>
        <w:t>.</w:t>
      </w:r>
    </w:p>
    <w:p w14:paraId="316ACBA6" w14:textId="77777777" w:rsidR="005028B9" w:rsidRPr="00F901BF" w:rsidRDefault="005028B9" w:rsidP="005028B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F901BF">
        <w:rPr>
          <w:rFonts w:ascii="Times New Roman" w:hAnsi="Times New Roman"/>
          <w:b/>
          <w:sz w:val="28"/>
          <w:szCs w:val="28"/>
        </w:rPr>
        <w:t>Возможный валовый выброс вредных веществ, отходящих от стационарных источников загрязнения атмосферы предприятия, составит:</w:t>
      </w:r>
    </w:p>
    <w:p w14:paraId="69136609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Выбросы загрязняющих веществ составят: на 2026-2035 гг. - 39.2437 тонн. </w:t>
      </w:r>
    </w:p>
    <w:p w14:paraId="283E5318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14:paraId="7A0681CD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Отходы производства и потребления</w:t>
      </w:r>
    </w:p>
    <w:p w14:paraId="66AE9D9E" w14:textId="77777777" w:rsidR="005028B9" w:rsidRPr="00F901BF" w:rsidRDefault="005028B9" w:rsidP="005028B9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В процессе эксплуатации проектируемого объекта образуются следующие виды отходов: </w:t>
      </w:r>
    </w:p>
    <w:p w14:paraId="53E191E3" w14:textId="77777777" w:rsidR="005028B9" w:rsidRPr="00F901BF" w:rsidRDefault="005028B9" w:rsidP="005028B9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Твердо-бытовые отходы (20 03 01) – 0,975 т/год; </w:t>
      </w:r>
    </w:p>
    <w:p w14:paraId="0FA682FD" w14:textId="77777777" w:rsidR="005028B9" w:rsidRPr="00F901BF" w:rsidRDefault="005028B9" w:rsidP="005028B9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Промасленная ветошь (150102*) – 0,8 т/год. </w:t>
      </w:r>
    </w:p>
    <w:p w14:paraId="01FBEF5E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Временное хранение всех образующихся видов отходов на участке проведения работ предусматривается не более 6 месяцев. </w:t>
      </w:r>
    </w:p>
    <w:p w14:paraId="391A9941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lang w:eastAsia="en-US"/>
        </w:rPr>
        <w:t>В дальнейшем отходы в полном объеме вывозятся по договорам со специализированными организациями или утилизируются на предприятии.</w:t>
      </w:r>
    </w:p>
    <w:p w14:paraId="4C761D9E" w14:textId="77777777" w:rsidR="005028B9" w:rsidRPr="00F901BF" w:rsidRDefault="005028B9" w:rsidP="005028B9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F901BF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Вероятность возникновения аварий</w:t>
      </w:r>
    </w:p>
    <w:p w14:paraId="6A5B206B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14:paraId="44F7A9E6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- отказы оборудования;</w:t>
      </w:r>
    </w:p>
    <w:p w14:paraId="6C3DAE26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- внешние воздействия природного и техногенного характера.</w:t>
      </w:r>
    </w:p>
    <w:p w14:paraId="154EE098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К природным факторам на рассматриваемой территории могут быть отнесены аварии, связанные с подвижками, вызываемыми разрядкой напряженного состояния литосферы и ее верхней оболочки (осадочной толщи), региональными неотектоническими движениями, в том числе по активным разломам, техногенными процессами, приводящими к наведенной сейсмичности. Также к природным факторам, способным инициировать аварии можно отнести экстремальные погодные условия – ураганные ветры, степные пожары от молний и др.</w:t>
      </w:r>
    </w:p>
    <w:p w14:paraId="0E0AD334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Антропогенные факторы включают в себя целый перечень причин аварий, связанных с техническими и организационными мероприятиями, в частности, внешними силовыми воздействиями, браком при монтаже и ремонте оборудования, коррозийности металла, ошибочными действиями обслуживающего персонала, террактами.</w:t>
      </w:r>
    </w:p>
    <w:p w14:paraId="50553D45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lastRenderedPageBreak/>
        <w:t>Однако работа участка за весь период его существования показывает, что вероятность возникновения аварий от внешних источников крайне мала.</w:t>
      </w:r>
    </w:p>
    <w:p w14:paraId="711C4F90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С учетом вероятности возникновения аварийных ситуаций, одним из эффективных методов минимизации ущерба от потенциальных аварий различных групп является готовность к ним: разработка сценариев возможного развития событий при аварии и сценариев реагирования на них.</w:t>
      </w:r>
    </w:p>
    <w:p w14:paraId="66253CCC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Другие аварийные ситуации и инциденты, связанные с эксплуатацией объекта и его объектов, носят, как правило, локальный характер, ликвидируются силами работников предприятия в соответствии с Планом ликвидации аварий.</w:t>
      </w:r>
    </w:p>
    <w:p w14:paraId="3D9A571E" w14:textId="77777777" w:rsidR="005028B9" w:rsidRPr="00F901BF" w:rsidRDefault="005028B9" w:rsidP="005028B9">
      <w:pPr>
        <w:pStyle w:val="af"/>
        <w:spacing w:after="0"/>
        <w:rPr>
          <w:szCs w:val="28"/>
        </w:rPr>
      </w:pPr>
    </w:p>
    <w:p w14:paraId="650D0126" w14:textId="77777777" w:rsidR="005028B9" w:rsidRPr="00F901BF" w:rsidRDefault="005028B9" w:rsidP="005028B9">
      <w:pPr>
        <w:pStyle w:val="af"/>
        <w:spacing w:after="0"/>
        <w:rPr>
          <w:b/>
          <w:szCs w:val="28"/>
        </w:rPr>
      </w:pPr>
      <w:r w:rsidRPr="00F901BF">
        <w:rPr>
          <w:b/>
          <w:szCs w:val="28"/>
        </w:rPr>
        <w:t>7. Информация</w:t>
      </w:r>
    </w:p>
    <w:p w14:paraId="3EF1F42F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 xml:space="preserve">Информация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 </w:t>
      </w:r>
    </w:p>
    <w:p w14:paraId="63317FB2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7CFCBA95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068EEE0D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Информация 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344F2F62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5CD98117" w14:textId="77777777" w:rsidR="005028B9" w:rsidRPr="00F901BF" w:rsidRDefault="005028B9" w:rsidP="005028B9">
      <w:pPr>
        <w:pStyle w:val="af"/>
        <w:spacing w:after="0"/>
        <w:rPr>
          <w:szCs w:val="28"/>
        </w:rPr>
      </w:pPr>
    </w:p>
    <w:p w14:paraId="1F3A3BEE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1819D482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Неблагоприятные последствия для окружающей среды в результате возникновения</w:t>
      </w:r>
    </w:p>
    <w:p w14:paraId="31FA37CC" w14:textId="77777777" w:rsidR="005028B9" w:rsidRPr="00F901BF" w:rsidRDefault="005028B9" w:rsidP="005028B9">
      <w:pPr>
        <w:pStyle w:val="af"/>
        <w:ind w:firstLine="0"/>
        <w:rPr>
          <w:szCs w:val="28"/>
        </w:rPr>
      </w:pPr>
      <w:r w:rsidRPr="00F901BF">
        <w:rPr>
          <w:szCs w:val="28"/>
        </w:rPr>
        <w:t>возможного инцидента (розлив нефтепродуктов на земную поверхность) оцениваются как незначительные и локальные – пятно нефтепродуктов на поверхности земли, которые устраняются немедленно персоналом организации и направляются на осуществления процедур по обезвреживанию замазученных грунтов в специализированную организацию.</w:t>
      </w:r>
    </w:p>
    <w:p w14:paraId="673B6C44" w14:textId="77777777" w:rsidR="005028B9" w:rsidRPr="00F901BF" w:rsidRDefault="005028B9" w:rsidP="005028B9">
      <w:pPr>
        <w:pStyle w:val="af"/>
        <w:spacing w:after="0"/>
        <w:ind w:firstLine="0"/>
        <w:rPr>
          <w:szCs w:val="28"/>
        </w:rPr>
      </w:pPr>
    </w:p>
    <w:p w14:paraId="6DB560C4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624E26E7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Учитывая отдельность от жилой зоны, негативное воздействие отсутствует для населения и в окружающую среду. </w:t>
      </w:r>
    </w:p>
    <w:p w14:paraId="6B3754BE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F901BF">
        <w:rPr>
          <w:rFonts w:ascii="Times New Roman" w:hAnsi="Times New Roman" w:cs="Times New Roman"/>
          <w:sz w:val="28"/>
          <w:szCs w:val="28"/>
        </w:rPr>
        <w:t xml:space="preserve">При возникновении опасных природных явлений, старатель уведомляет уполномоченные службы ЧС, гражданской защиты. </w:t>
      </w:r>
    </w:p>
    <w:p w14:paraId="44BADB49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4F7B467A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8. краткое описание:</w:t>
      </w:r>
    </w:p>
    <w:p w14:paraId="474B90AF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Краткое описание 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38FA65A9" w14:textId="77777777" w:rsidR="005028B9" w:rsidRPr="00F901BF" w:rsidRDefault="005028B9" w:rsidP="005028B9">
      <w:pPr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lastRenderedPageBreak/>
        <w:t xml:space="preserve">В целях снижения пылевыделения на территории месторождения предусмотрено гидроорошение пылящих поверхностей, внутриплощадочного дорожного полотна посредством поливомоечной машины. </w:t>
      </w:r>
    </w:p>
    <w:p w14:paraId="791AE74C" w14:textId="77777777" w:rsidR="005028B9" w:rsidRPr="00F901BF" w:rsidRDefault="005028B9" w:rsidP="005028B9">
      <w:pPr>
        <w:pStyle w:val="af"/>
        <w:spacing w:after="0"/>
        <w:ind w:firstLine="0"/>
        <w:rPr>
          <w:szCs w:val="28"/>
        </w:rPr>
      </w:pPr>
    </w:p>
    <w:p w14:paraId="182845D3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5C0B62D4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участках, где будут проводиться работы,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ПСП,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3BDB3B2E" w14:textId="77777777" w:rsidR="005028B9" w:rsidRPr="00F901BF" w:rsidRDefault="005028B9" w:rsidP="005028B9">
      <w:pPr>
        <w:pStyle w:val="ad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647A1738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Краткое описание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</w:t>
      </w:r>
    </w:p>
    <w:p w14:paraId="3AD9B26F" w14:textId="77777777" w:rsidR="005028B9" w:rsidRPr="00F901BF" w:rsidRDefault="005028B9" w:rsidP="005028B9">
      <w:pPr>
        <w:pStyle w:val="af"/>
        <w:rPr>
          <w:szCs w:val="28"/>
        </w:rPr>
      </w:pPr>
      <w:r w:rsidRPr="00F901BF">
        <w:rPr>
          <w:szCs w:val="28"/>
        </w:rPr>
        <w:t>По результатам проведённой оценки воздействия на окружающую среду, отражённым в настоящем Отчёте, необратимых воздействия на окружающую среду выявлено не было. В связи с чем, оценка возможных необратимых воздействий на окружающую среду не представляется возможным ввиду их отсутствия</w:t>
      </w:r>
    </w:p>
    <w:p w14:paraId="4C9F262A" w14:textId="77777777" w:rsidR="005028B9" w:rsidRPr="00F901BF" w:rsidRDefault="005028B9" w:rsidP="005028B9">
      <w:pPr>
        <w:pStyle w:val="af"/>
        <w:spacing w:after="0"/>
        <w:ind w:firstLine="0"/>
        <w:rPr>
          <w:szCs w:val="28"/>
        </w:rPr>
      </w:pPr>
    </w:p>
    <w:p w14:paraId="1087EAEF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 xml:space="preserve">Краткое описание способов и мер восстановления окружающей среды в случаях прекращения намечаемой деятельности. </w:t>
      </w:r>
    </w:p>
    <w:p w14:paraId="494C85DA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После полной отработки запасов полезного ископаемого будет проведена рекультивация месторождения.</w:t>
      </w:r>
    </w:p>
    <w:p w14:paraId="17B7CA6C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Направление рекультивации нарушенных земель для объектов недропользования определяется инженерно-геологическими и горнотехническими условиями на момент завершения работ.</w:t>
      </w:r>
    </w:p>
    <w:p w14:paraId="00DD5CFE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74521E3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01BF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4231E259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01BF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участке эксплуатации,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0EC55052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2A7010D" w14:textId="77777777" w:rsidR="005028B9" w:rsidRPr="00F901BF" w:rsidRDefault="005028B9" w:rsidP="005028B9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01BF">
        <w:rPr>
          <w:rFonts w:ascii="Times New Roman" w:hAnsi="Times New Roman" w:cs="Times New Roman"/>
          <w:b/>
          <w:sz w:val="28"/>
          <w:szCs w:val="28"/>
        </w:rPr>
        <w:t>9. Список источников информации, полученной в ходе выполнения оценки воздействия на окружающую среду</w:t>
      </w:r>
    </w:p>
    <w:p w14:paraId="1BE03075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lastRenderedPageBreak/>
        <w:t>Экологический кодекс Республики Казахстан от 02.01.2021 г. № 400-VI ЗРК. г. Нур-Султан, 2021 г.;</w:t>
      </w:r>
    </w:p>
    <w:p w14:paraId="02AFBF17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«Об утверждении Методики определения нормативов эмиссий в окружающую среду», Приказ Министра экологии, геологии и природных ресурсов Республики Казахстан от 10 марта 2021 года № 63.</w:t>
      </w:r>
    </w:p>
    <w:p w14:paraId="2B428CE1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ГОСТ 17.2.3.02-78 «Охрана природы. Атмосфера. Правила установления допустимых выбросов вредных веществ промышленными предприятиями»;</w:t>
      </w:r>
    </w:p>
    <w:p w14:paraId="33235E12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Методика расчета концентраций в атмосферном воздухе вредных веществ, содержащихся в выбросах предприятий. ОНД-86. Госкомгидромет, Ленинград гидрометеоиздат, 1997;</w:t>
      </w:r>
    </w:p>
    <w:p w14:paraId="6EDCAA35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утвержденным приказом и.о. Министра здравоохранения Республики Казахстан от 11 января 2022 года № ҚР ДСМ-2;</w:t>
      </w:r>
    </w:p>
    <w:p w14:paraId="227AB302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 xml:space="preserve">Рекомендации по делению предприятий на категории опасности в зависимости от массы </w:t>
      </w:r>
      <w:proofErr w:type="gramStart"/>
      <w:r w:rsidRPr="00F901BF">
        <w:rPr>
          <w:rFonts w:ascii="Times New Roman" w:hAnsi="Times New Roman"/>
          <w:bCs/>
          <w:sz w:val="28"/>
          <w:szCs w:val="28"/>
        </w:rPr>
        <w:t>и  видового</w:t>
      </w:r>
      <w:proofErr w:type="gramEnd"/>
      <w:r w:rsidRPr="00F901BF">
        <w:rPr>
          <w:rFonts w:ascii="Times New Roman" w:hAnsi="Times New Roman"/>
          <w:bCs/>
          <w:sz w:val="28"/>
          <w:szCs w:val="28"/>
        </w:rPr>
        <w:t xml:space="preserve"> состава выбрасываемых в атмосферу загрязняющих веществ, Алматы, 1995 г;</w:t>
      </w:r>
    </w:p>
    <w:p w14:paraId="58322207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п.5. От предприятий по переработке нерудных материалов и производству пористых заполнителей. Приложение №11 к Приказу Министра охраны окружающей среды Республики Казахстан от 18.04.2008 №100-п;</w:t>
      </w:r>
    </w:p>
    <w:p w14:paraId="16503944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 xml:space="preserve">Методика расчета нормативов выбросов от неорганизованных источников Приложение №13 к Приказу Министра охраны окружающей среды Республики Казахстан от 18.04.2008 №100-п. </w:t>
      </w:r>
    </w:p>
    <w:p w14:paraId="1EB1AD90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Приложение №11 к Приказу Министра охраны окружающей среды Республики Казахстан от 18.04.2008 №100-п;</w:t>
      </w:r>
    </w:p>
    <w:p w14:paraId="215C2835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от автотранспортных предприятий (раздел 3) Приложение №3 к Приказу Министра охраны окружающей среды Республики Казахстан от 18.04.2008 №100-п;</w:t>
      </w:r>
    </w:p>
    <w:p w14:paraId="677F4A40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 xml:space="preserve">Санитарные правила </w:t>
      </w:r>
      <w:r w:rsidRPr="00F901BF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</w:r>
      <w:r w:rsidRPr="00F901BF">
        <w:rPr>
          <w:rFonts w:ascii="Times New Roman" w:hAnsi="Times New Roman"/>
          <w:bCs/>
          <w:sz w:val="28"/>
          <w:szCs w:val="28"/>
        </w:rPr>
        <w:t>утвержденные Приказом Министра здравоохранения Республики Казахстан от 20 февраля 2023 года № 26;</w:t>
      </w:r>
    </w:p>
    <w:p w14:paraId="195060A7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2 августа 2022 года № ҚР ДСМ-71;</w:t>
      </w:r>
    </w:p>
    <w:p w14:paraId="3B98B39F" w14:textId="77777777" w:rsidR="005028B9" w:rsidRPr="00F901BF" w:rsidRDefault="005028B9" w:rsidP="005028B9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F901BF">
        <w:rPr>
          <w:rFonts w:ascii="Times New Roman" w:hAnsi="Times New Roman"/>
          <w:bCs/>
          <w:sz w:val="28"/>
          <w:szCs w:val="28"/>
        </w:rPr>
        <w:lastRenderedPageBreak/>
        <w:t>Программный комплекс «ЭРА-Воздух» Версия 3.0. Расчет приземных концентраций и выпуск томов ПДВ. Новосибирск 2004;</w:t>
      </w:r>
    </w:p>
    <w:p w14:paraId="18B9CC08" w14:textId="77777777" w:rsidR="00040F19" w:rsidRDefault="00040F19"/>
    <w:sectPr w:rsidR="00040F19" w:rsidSect="00B02FFB">
      <w:pgSz w:w="11910" w:h="16840"/>
      <w:pgMar w:top="1134" w:right="850" w:bottom="1134" w:left="1701" w:header="397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E0FF6"/>
    <w:multiLevelType w:val="multilevel"/>
    <w:tmpl w:val="5A0E307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1A155A4"/>
    <w:multiLevelType w:val="hybridMultilevel"/>
    <w:tmpl w:val="71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026FB"/>
    <w:multiLevelType w:val="hybridMultilevel"/>
    <w:tmpl w:val="2200BFD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996183362">
    <w:abstractNumId w:val="2"/>
  </w:num>
  <w:num w:numId="2" w16cid:durableId="655260787">
    <w:abstractNumId w:val="1"/>
  </w:num>
  <w:num w:numId="3" w16cid:durableId="33758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69"/>
    <w:rsid w:val="00040F19"/>
    <w:rsid w:val="001B014C"/>
    <w:rsid w:val="001D735B"/>
    <w:rsid w:val="002249F3"/>
    <w:rsid w:val="003826FD"/>
    <w:rsid w:val="003A1E45"/>
    <w:rsid w:val="003C47BC"/>
    <w:rsid w:val="003E6754"/>
    <w:rsid w:val="004E2462"/>
    <w:rsid w:val="005028B9"/>
    <w:rsid w:val="00551731"/>
    <w:rsid w:val="006C3D22"/>
    <w:rsid w:val="009B4C39"/>
    <w:rsid w:val="00A67BA9"/>
    <w:rsid w:val="00AB3BE3"/>
    <w:rsid w:val="00B02FFB"/>
    <w:rsid w:val="00BA0AFA"/>
    <w:rsid w:val="00C0613C"/>
    <w:rsid w:val="00C91162"/>
    <w:rsid w:val="00C92947"/>
    <w:rsid w:val="00CB3A10"/>
    <w:rsid w:val="00D44B69"/>
    <w:rsid w:val="00E50E0E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C897"/>
  <w15:chartTrackingRefBased/>
  <w15:docId w15:val="{73EAA719-5C39-4F38-825F-4D5FDF2E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8B9"/>
    <w:pPr>
      <w:spacing w:after="200"/>
      <w:ind w:firstLine="0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44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B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B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B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B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B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4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B69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4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B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4B69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34"/>
    <w:qFormat/>
    <w:rsid w:val="00D44B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44B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44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44B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44B69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5028B9"/>
    <w:pPr>
      <w:ind w:firstLine="0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5028B9"/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af">
    <w:name w:val="А_Параграф"/>
    <w:basedOn w:val="a"/>
    <w:qFormat/>
    <w:rsid w:val="005028B9"/>
    <w:pPr>
      <w:spacing w:after="400"/>
      <w:ind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62">
    <w:name w:val="Style62"/>
    <w:basedOn w:val="a"/>
    <w:uiPriority w:val="99"/>
    <w:rsid w:val="005028B9"/>
    <w:pPr>
      <w:widowControl w:val="0"/>
      <w:autoSpaceDE w:val="0"/>
      <w:autoSpaceDN w:val="0"/>
      <w:adjustRightInd w:val="0"/>
      <w:spacing w:after="0" w:line="317" w:lineRule="exact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34"/>
    <w:qFormat/>
    <w:rsid w:val="005028B9"/>
  </w:style>
  <w:style w:type="character" w:customStyle="1" w:styleId="FontStyle228">
    <w:name w:val="Font Style228"/>
    <w:basedOn w:val="a0"/>
    <w:uiPriority w:val="99"/>
    <w:rsid w:val="005028B9"/>
    <w:rPr>
      <w:rFonts w:ascii="Arial" w:hAnsi="Arial" w:cs="Arial"/>
      <w:sz w:val="22"/>
      <w:szCs w:val="22"/>
    </w:rPr>
  </w:style>
  <w:style w:type="character" w:customStyle="1" w:styleId="FontStyle930">
    <w:name w:val="Font Style930"/>
    <w:basedOn w:val="a0"/>
    <w:uiPriority w:val="99"/>
    <w:rsid w:val="005028B9"/>
    <w:rPr>
      <w:rFonts w:ascii="Times New Roman" w:hAnsi="Times New Roman" w:cs="Times New Roman"/>
      <w:sz w:val="28"/>
      <w:szCs w:val="28"/>
    </w:rPr>
  </w:style>
  <w:style w:type="character" w:customStyle="1" w:styleId="FontStyle931">
    <w:name w:val="Font Style931"/>
    <w:basedOn w:val="a0"/>
    <w:uiPriority w:val="99"/>
    <w:rsid w:val="005028B9"/>
    <w:rPr>
      <w:rFonts w:ascii="Times New Roman" w:hAnsi="Times New Roman" w:cs="Times New Roman"/>
      <w:sz w:val="28"/>
      <w:szCs w:val="28"/>
    </w:rPr>
  </w:style>
  <w:style w:type="character" w:customStyle="1" w:styleId="FontStyle30">
    <w:name w:val="Font Style30"/>
    <w:basedOn w:val="a0"/>
    <w:uiPriority w:val="99"/>
    <w:rsid w:val="005028B9"/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3691</Words>
  <Characters>21041</Characters>
  <Application>Microsoft Office Word</Application>
  <DocSecurity>0</DocSecurity>
  <Lines>175</Lines>
  <Paragraphs>49</Paragraphs>
  <ScaleCrop>false</ScaleCrop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Багдат Баймурат</cp:lastModifiedBy>
  <cp:revision>2</cp:revision>
  <dcterms:created xsi:type="dcterms:W3CDTF">2026-07-15T06:12:00Z</dcterms:created>
  <dcterms:modified xsi:type="dcterms:W3CDTF">2026-07-15T06:13:00Z</dcterms:modified>
</cp:coreProperties>
</file>