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026EC" w14:textId="77777777" w:rsidR="004805DF" w:rsidRPr="005A5CBE" w:rsidRDefault="00E16D70" w:rsidP="005A5CBE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5A5CBE">
        <w:rPr>
          <w:rFonts w:cs="Times New Roman"/>
          <w:noProof/>
          <w:sz w:val="24"/>
          <w:szCs w:val="24"/>
        </w:rPr>
        <w:drawing>
          <wp:inline distT="0" distB="0" distL="0" distR="0" wp14:anchorId="26A6F1CA" wp14:editId="6D96997D">
            <wp:extent cx="6156000" cy="205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s_banner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1FE29" w14:textId="77777777" w:rsidR="004805DF" w:rsidRPr="005A5CBE" w:rsidRDefault="00E16D70" w:rsidP="005A5CBE">
      <w:pPr>
        <w:spacing w:before="560" w:after="0" w:line="240" w:lineRule="auto"/>
        <w:jc w:val="center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color w:val="365F37"/>
          <w:sz w:val="24"/>
          <w:szCs w:val="24"/>
          <w:lang w:val="ru-RU"/>
        </w:rPr>
        <w:t>КРАТКОЕ НЕТЕХНИЧЕСКОЕ РЕЗЮМЕ</w:t>
      </w:r>
    </w:p>
    <w:p w14:paraId="78A016E0" w14:textId="77777777" w:rsidR="004805DF" w:rsidRPr="005A5CBE" w:rsidRDefault="00E16D70" w:rsidP="005A5CBE">
      <w:pPr>
        <w:spacing w:after="0" w:line="240" w:lineRule="auto"/>
        <w:jc w:val="center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ДЛЯ ОБЩЕСТВЕННЫХ СЛУШАНИЙ</w:t>
      </w:r>
    </w:p>
    <w:p w14:paraId="309A811E" w14:textId="77777777" w:rsidR="004805DF" w:rsidRPr="005A5CBE" w:rsidRDefault="00E16D70" w:rsidP="005A5CBE">
      <w:pPr>
        <w:spacing w:before="300" w:after="0" w:line="240" w:lineRule="auto"/>
        <w:jc w:val="center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по экологическим проектам ТОО «</w:t>
      </w:r>
      <w:r w:rsidRPr="005A5CBE">
        <w:rPr>
          <w:rFonts w:cs="Times New Roman"/>
          <w:b/>
          <w:sz w:val="24"/>
          <w:szCs w:val="24"/>
        </w:rPr>
        <w:t>Brass</w:t>
      </w:r>
      <w:r w:rsidRPr="005A5CBE">
        <w:rPr>
          <w:rFonts w:cs="Times New Roman"/>
          <w:b/>
          <w:sz w:val="24"/>
          <w:szCs w:val="24"/>
          <w:lang w:val="ru-RU"/>
        </w:rPr>
        <w:t xml:space="preserve"> </w:t>
      </w:r>
      <w:r w:rsidRPr="005A5CBE">
        <w:rPr>
          <w:rFonts w:cs="Times New Roman"/>
          <w:b/>
          <w:sz w:val="24"/>
          <w:szCs w:val="24"/>
        </w:rPr>
        <w:t>of</w:t>
      </w:r>
      <w:r w:rsidRPr="005A5CBE">
        <w:rPr>
          <w:rFonts w:cs="Times New Roman"/>
          <w:b/>
          <w:sz w:val="24"/>
          <w:szCs w:val="24"/>
          <w:lang w:val="ru-RU"/>
        </w:rPr>
        <w:t xml:space="preserve"> </w:t>
      </w:r>
      <w:proofErr w:type="spellStart"/>
      <w:r w:rsidRPr="005A5CBE">
        <w:rPr>
          <w:rFonts w:cs="Times New Roman"/>
          <w:b/>
          <w:sz w:val="24"/>
          <w:szCs w:val="24"/>
        </w:rPr>
        <w:t>Qazaqstan</w:t>
      </w:r>
      <w:proofErr w:type="spellEnd"/>
      <w:r w:rsidRPr="005A5CBE">
        <w:rPr>
          <w:rFonts w:cs="Times New Roman"/>
          <w:b/>
          <w:sz w:val="24"/>
          <w:szCs w:val="24"/>
          <w:lang w:val="ru-RU"/>
        </w:rPr>
        <w:t xml:space="preserve"> </w:t>
      </w:r>
      <w:r w:rsidRPr="005A5CBE">
        <w:rPr>
          <w:rFonts w:cs="Times New Roman"/>
          <w:b/>
          <w:sz w:val="24"/>
          <w:szCs w:val="24"/>
        </w:rPr>
        <w:t>PVL</w:t>
      </w:r>
      <w:r w:rsidRPr="005A5CBE">
        <w:rPr>
          <w:rFonts w:cs="Times New Roman"/>
          <w:b/>
          <w:sz w:val="24"/>
          <w:szCs w:val="24"/>
          <w:lang w:val="ru-RU"/>
        </w:rPr>
        <w:t>»</w:t>
      </w:r>
      <w:r w:rsidRPr="005A5CBE">
        <w:rPr>
          <w:rFonts w:cs="Times New Roman"/>
          <w:b/>
          <w:sz w:val="24"/>
          <w:szCs w:val="24"/>
          <w:lang w:val="ru-RU"/>
        </w:rPr>
        <w:br/>
        <w:t>на 2026–2035 годы</w:t>
      </w:r>
    </w:p>
    <w:p w14:paraId="32582B8C" w14:textId="77777777" w:rsidR="004805DF" w:rsidRPr="005A5CBE" w:rsidRDefault="00E16D70" w:rsidP="005A5CBE">
      <w:pPr>
        <w:spacing w:before="440" w:after="0" w:line="240" w:lineRule="auto"/>
        <w:jc w:val="center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Проект нормативов допустимых выбросов</w:t>
      </w:r>
      <w:r w:rsidRPr="005A5CBE">
        <w:rPr>
          <w:rFonts w:cs="Times New Roman"/>
          <w:sz w:val="24"/>
          <w:szCs w:val="24"/>
          <w:lang w:val="ru-RU"/>
        </w:rPr>
        <w:br/>
        <w:t>Программа управления отходами</w:t>
      </w:r>
      <w:r w:rsidRPr="005A5CBE">
        <w:rPr>
          <w:rFonts w:cs="Times New Roman"/>
          <w:sz w:val="24"/>
          <w:szCs w:val="24"/>
          <w:lang w:val="ru-RU"/>
        </w:rPr>
        <w:br/>
        <w:t xml:space="preserve">Программа производственного экологического </w:t>
      </w:r>
      <w:r w:rsidRPr="005A5CBE">
        <w:rPr>
          <w:rFonts w:cs="Times New Roman"/>
          <w:sz w:val="24"/>
          <w:szCs w:val="24"/>
          <w:lang w:val="ru-RU"/>
        </w:rPr>
        <w:t>контроля</w:t>
      </w:r>
      <w:r w:rsidRPr="005A5CBE">
        <w:rPr>
          <w:rFonts w:cs="Times New Roman"/>
          <w:sz w:val="24"/>
          <w:szCs w:val="24"/>
          <w:lang w:val="ru-RU"/>
        </w:rPr>
        <w:br/>
        <w:t>План мероприятий по охране окружающей среды</w:t>
      </w:r>
    </w:p>
    <w:p w14:paraId="221E54CB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1. Назначение резюме</w:t>
      </w:r>
    </w:p>
    <w:p w14:paraId="00A7AEB1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Настоящее резюме подготовлено для ознакомления населения с основными сведениями об эксплуатации производственной площадки ТОО «</w:t>
      </w:r>
      <w:r w:rsidRPr="005A5CBE">
        <w:rPr>
          <w:rFonts w:cs="Times New Roman"/>
          <w:sz w:val="24"/>
          <w:szCs w:val="24"/>
        </w:rPr>
        <w:t>Brass</w:t>
      </w:r>
      <w:r w:rsidRPr="005A5CBE">
        <w:rPr>
          <w:rFonts w:cs="Times New Roman"/>
          <w:sz w:val="24"/>
          <w:szCs w:val="24"/>
          <w:lang w:val="ru-RU"/>
        </w:rPr>
        <w:t xml:space="preserve"> </w:t>
      </w:r>
      <w:r w:rsidRPr="005A5CBE">
        <w:rPr>
          <w:rFonts w:cs="Times New Roman"/>
          <w:sz w:val="24"/>
          <w:szCs w:val="24"/>
        </w:rPr>
        <w:t>of</w:t>
      </w:r>
      <w:r w:rsidRPr="005A5CBE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5A5CBE">
        <w:rPr>
          <w:rFonts w:cs="Times New Roman"/>
          <w:sz w:val="24"/>
          <w:szCs w:val="24"/>
        </w:rPr>
        <w:t>Qazaqstan</w:t>
      </w:r>
      <w:proofErr w:type="spellEnd"/>
      <w:r w:rsidRPr="005A5CBE">
        <w:rPr>
          <w:rFonts w:cs="Times New Roman"/>
          <w:sz w:val="24"/>
          <w:szCs w:val="24"/>
          <w:lang w:val="ru-RU"/>
        </w:rPr>
        <w:t xml:space="preserve"> </w:t>
      </w:r>
      <w:r w:rsidRPr="005A5CBE">
        <w:rPr>
          <w:rFonts w:cs="Times New Roman"/>
          <w:sz w:val="24"/>
          <w:szCs w:val="24"/>
        </w:rPr>
        <w:t>PVL</w:t>
      </w:r>
      <w:r w:rsidRPr="005A5CBE">
        <w:rPr>
          <w:rFonts w:cs="Times New Roman"/>
          <w:sz w:val="24"/>
          <w:szCs w:val="24"/>
          <w:lang w:val="ru-RU"/>
        </w:rPr>
        <w:t>», ожидае</w:t>
      </w:r>
      <w:r w:rsidRPr="005A5CBE">
        <w:rPr>
          <w:rFonts w:cs="Times New Roman"/>
          <w:sz w:val="24"/>
          <w:szCs w:val="24"/>
          <w:lang w:val="ru-RU"/>
        </w:rPr>
        <w:t>мом воздействии на окружающую среду и мерах по его предупреждению. Информация изложена простым языком на основании проектов нормативов допустимых выбросов, программы управления отходами, программы производственного экологического контроля и плана природоох</w:t>
      </w:r>
      <w:r w:rsidRPr="005A5CBE">
        <w:rPr>
          <w:rFonts w:cs="Times New Roman"/>
          <w:sz w:val="24"/>
          <w:szCs w:val="24"/>
          <w:lang w:val="ru-RU"/>
        </w:rPr>
        <w:t>ранных мероприятий на 2026–2035 годы.</w:t>
      </w:r>
    </w:p>
    <w:p w14:paraId="3BE55F98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</w:rPr>
      </w:pPr>
      <w:r w:rsidRPr="005A5CBE">
        <w:rPr>
          <w:rFonts w:cs="Times New Roman"/>
          <w:b/>
          <w:sz w:val="24"/>
          <w:szCs w:val="24"/>
        </w:rPr>
        <w:t>2. Общая информация о предприятии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6973"/>
      </w:tblGrid>
      <w:tr w:rsidR="004805DF" w:rsidRPr="005A5CBE" w14:paraId="6F5502E6" w14:textId="77777777" w:rsidTr="005A5CBE">
        <w:trPr>
          <w:cantSplit/>
          <w:tblHeader/>
          <w:jc w:val="center"/>
        </w:trPr>
        <w:tc>
          <w:tcPr>
            <w:tcW w:w="249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9112E6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Показатель</w:t>
            </w:r>
          </w:p>
        </w:tc>
        <w:tc>
          <w:tcPr>
            <w:tcW w:w="6973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8EEE3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Основные сведения</w:t>
            </w:r>
          </w:p>
        </w:tc>
      </w:tr>
      <w:tr w:rsidR="004805DF" w:rsidRPr="005A5CBE" w14:paraId="21578289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5D32C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72EF6A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ТОО «Brass of Qazaqstan PVL»</w:t>
            </w:r>
          </w:p>
        </w:tc>
      </w:tr>
      <w:tr w:rsidR="004805DF" w:rsidRPr="005A5CBE" w14:paraId="0341FDAB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37911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C7137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 xml:space="preserve">г. Павлодар, промышленная зона Северная, строение 167, производственный корпус № 119 на </w:t>
            </w:r>
            <w:r w:rsidRPr="005A5CBE">
              <w:rPr>
                <w:rFonts w:cs="Times New Roman"/>
                <w:sz w:val="24"/>
                <w:szCs w:val="24"/>
                <w:lang w:val="ru-RU"/>
              </w:rPr>
              <w:t>арендуемой территории АО «Каустик»</w:t>
            </w:r>
          </w:p>
        </w:tc>
      </w:tr>
      <w:tr w:rsidR="004805DF" w:rsidRPr="005A5CBE" w14:paraId="40391487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AD494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Площадь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E05567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0,284 га (2840 м²)</w:t>
            </w:r>
          </w:p>
        </w:tc>
      </w:tr>
      <w:tr w:rsidR="004805DF" w:rsidRPr="005A5CBE" w14:paraId="7041C416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D55D27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b/>
                <w:sz w:val="24"/>
                <w:szCs w:val="24"/>
              </w:rPr>
              <w:t>Категория объекта</w:t>
            </w:r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638067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</w:rPr>
              <w:t>II</w:t>
            </w:r>
            <w:r w:rsidRPr="005A5CBE">
              <w:rPr>
                <w:rFonts w:cs="Times New Roman"/>
                <w:sz w:val="24"/>
                <w:szCs w:val="24"/>
                <w:lang w:val="ru-RU"/>
              </w:rPr>
              <w:t xml:space="preserve"> категория; максимальная плавильная мощность — не более 19,9 т/сутки</w:t>
            </w:r>
          </w:p>
        </w:tc>
      </w:tr>
      <w:tr w:rsidR="004805DF" w:rsidRPr="005A5CBE" w14:paraId="0288FBC6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0C639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Основная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54C150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 xml:space="preserve">Производство латунных прутков, медных слитков и латунных сплавов из </w:t>
            </w:r>
            <w:r w:rsidRPr="005A5CBE">
              <w:rPr>
                <w:rFonts w:cs="Times New Roman"/>
                <w:sz w:val="24"/>
                <w:szCs w:val="24"/>
                <w:lang w:val="ru-RU"/>
              </w:rPr>
              <w:t>лома и отходов цветных металлов</w:t>
            </w:r>
          </w:p>
        </w:tc>
      </w:tr>
      <w:tr w:rsidR="004805DF" w:rsidRPr="005A5CBE" w14:paraId="17187368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2F8902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Планируемый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выпуск</w:t>
            </w:r>
            <w:proofErr w:type="spellEnd"/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A806C5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Латунные прутки — 2500 т/год; медные слитки — 3500 т/год; латунные сплавы — 1000 т/год; всего — 7000 т/год</w:t>
            </w:r>
          </w:p>
        </w:tc>
      </w:tr>
      <w:tr w:rsidR="004805DF" w:rsidRPr="005A5CBE" w14:paraId="6C688845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102D55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lastRenderedPageBreak/>
              <w:t>Режим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работы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A7D379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Две смены по 12 часов; численность работников — 58 человек</w:t>
            </w:r>
          </w:p>
        </w:tc>
      </w:tr>
      <w:tr w:rsidR="004805DF" w:rsidRPr="005A5CBE" w14:paraId="6204E1CE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40AB91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Ближайшая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жи</w:t>
            </w:r>
            <w:r w:rsidRPr="005A5CBE">
              <w:rPr>
                <w:rFonts w:cs="Times New Roman"/>
                <w:b/>
                <w:sz w:val="24"/>
                <w:szCs w:val="24"/>
              </w:rPr>
              <w:t>лая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зона</w:t>
            </w:r>
            <w:proofErr w:type="spellEnd"/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028DC1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Более 6 км в западном направлении</w:t>
            </w:r>
          </w:p>
        </w:tc>
      </w:tr>
      <w:tr w:rsidR="004805DF" w:rsidRPr="005A5CBE" w14:paraId="56D4E5A4" w14:textId="77777777">
        <w:trPr>
          <w:cantSplit/>
          <w:jc w:val="center"/>
        </w:trPr>
        <w:tc>
          <w:tcPr>
            <w:tcW w:w="249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57861E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Ближайший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водный</w:t>
            </w:r>
            <w:proofErr w:type="spellEnd"/>
            <w:r w:rsidRPr="005A5CB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b/>
                <w:sz w:val="24"/>
                <w:szCs w:val="24"/>
              </w:rPr>
              <w:t>объект</w:t>
            </w:r>
            <w:proofErr w:type="spellEnd"/>
          </w:p>
        </w:tc>
        <w:tc>
          <w:tcPr>
            <w:tcW w:w="697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C1332B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Река Иртыш — около 6 км; площадка не входит в водоохранную зону и полосу</w:t>
            </w:r>
          </w:p>
        </w:tc>
      </w:tr>
    </w:tbl>
    <w:p w14:paraId="407AA96F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 xml:space="preserve">Производство размещено в существующей промышленной зоне и не связано технологически с </w:t>
      </w:r>
      <w:r w:rsidRPr="005A5CBE">
        <w:rPr>
          <w:rFonts w:cs="Times New Roman"/>
          <w:sz w:val="24"/>
          <w:szCs w:val="24"/>
          <w:lang w:val="ru-RU"/>
        </w:rPr>
        <w:t>производственными процессами АО «Каустик». Дополнительное изъятие земель, размещение объекта на территории жилой застройки или в границах особо охраняемых природных территорий не предусматривается.</w:t>
      </w:r>
    </w:p>
    <w:p w14:paraId="3CC2CD88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3. Краткое описание технологии</w:t>
      </w:r>
    </w:p>
    <w:p w14:paraId="1853BBD1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 xml:space="preserve">Основным сырьем </w:t>
      </w:r>
      <w:r w:rsidRPr="005A5CBE">
        <w:rPr>
          <w:rFonts w:cs="Times New Roman"/>
          <w:sz w:val="24"/>
          <w:szCs w:val="24"/>
          <w:lang w:val="ru-RU"/>
        </w:rPr>
        <w:t xml:space="preserve">являются лом и отходы цветных металлов и сплавов на основе меди и цинка, поступающие от сторонних организаций. Перед приемкой сырье осматривается, сортируется и проверяется на отсутствие влаги, мусора, закрытых емкостей, </w:t>
      </w:r>
      <w:proofErr w:type="spellStart"/>
      <w:r w:rsidRPr="005A5CBE">
        <w:rPr>
          <w:rFonts w:cs="Times New Roman"/>
          <w:sz w:val="24"/>
          <w:szCs w:val="24"/>
          <w:lang w:val="ru-RU"/>
        </w:rPr>
        <w:t>пожаро</w:t>
      </w:r>
      <w:proofErr w:type="spellEnd"/>
      <w:r w:rsidRPr="005A5CBE">
        <w:rPr>
          <w:rFonts w:cs="Times New Roman"/>
          <w:sz w:val="24"/>
          <w:szCs w:val="24"/>
          <w:lang w:val="ru-RU"/>
        </w:rPr>
        <w:t xml:space="preserve">- и взрывоопасных предметов. </w:t>
      </w:r>
      <w:r w:rsidRPr="005A5CBE">
        <w:rPr>
          <w:rFonts w:cs="Times New Roman"/>
          <w:sz w:val="24"/>
          <w:szCs w:val="24"/>
          <w:lang w:val="ru-RU"/>
        </w:rPr>
        <w:t>Несоответствующее сырье в производство не принимается.</w:t>
      </w:r>
    </w:p>
    <w:p w14:paraId="5F58F97F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Подготовленная шихта загружается в канальную индукционную плавильную печь. После плавления и доведения химического состава расплав поступает на разливку. Латунные прутки формируются методом непрерывног</w:t>
      </w:r>
      <w:r w:rsidRPr="005A5CBE">
        <w:rPr>
          <w:rFonts w:cs="Times New Roman"/>
          <w:sz w:val="24"/>
          <w:szCs w:val="24"/>
          <w:lang w:val="ru-RU"/>
        </w:rPr>
        <w:t>о литья, охлаждаются в оборотной системе, вытягиваются и разрезаются на требуемую длину. Медные и латунные слитки получают путем разливки расплава в чугунные изложницы с последующим охлаждением и контролем качества.</w:t>
      </w:r>
    </w:p>
    <w:p w14:paraId="73685C4B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4. Воздействие на окружающую среду</w:t>
      </w:r>
    </w:p>
    <w:p w14:paraId="05A99D50" w14:textId="77777777" w:rsidR="004805DF" w:rsidRPr="005A5CBE" w:rsidRDefault="00E16D70" w:rsidP="005A5CBE">
      <w:pPr>
        <w:spacing w:before="10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 xml:space="preserve">4.1. </w:t>
      </w:r>
      <w:r w:rsidRPr="005A5CBE">
        <w:rPr>
          <w:rFonts w:cs="Times New Roman"/>
          <w:b/>
          <w:sz w:val="24"/>
          <w:szCs w:val="24"/>
          <w:lang w:val="ru-RU"/>
        </w:rPr>
        <w:t>Атмосферный воздух</w:t>
      </w:r>
    </w:p>
    <w:p w14:paraId="5704C779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На предприятии учтено 4 источника выбросов: 3 организованных и 1 неорганизованный. Источниками являются плавильная и литейная печи, система волочения и резки, а также пересыпка и подготовка шихты. В проекте нормируются 8 загрязняющих вещ</w:t>
      </w:r>
      <w:r w:rsidRPr="005A5CBE">
        <w:rPr>
          <w:rFonts w:cs="Times New Roman"/>
          <w:sz w:val="24"/>
          <w:szCs w:val="24"/>
          <w:lang w:val="ru-RU"/>
        </w:rPr>
        <w:t>еств. Общий расчетный выброс на период 2026–2035 годов составляет 13,079 т/год. По сравнению с действующим разрешением предусмотрено снижение выбросов примерно на 8,716 т/год, или на 40 %.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1814"/>
        <w:gridCol w:w="2438"/>
      </w:tblGrid>
      <w:tr w:rsidR="004805DF" w:rsidRPr="005A5CBE" w14:paraId="48F5A8DE" w14:textId="77777777" w:rsidTr="005A5CBE">
        <w:trPr>
          <w:cantSplit/>
          <w:tblHeader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655CB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sz w:val="24"/>
                <w:szCs w:val="24"/>
              </w:rPr>
              <w:t>Загрязняющее</w:t>
            </w:r>
            <w:proofErr w:type="spellEnd"/>
            <w:r w:rsidRPr="005A5CB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sz w:val="24"/>
                <w:szCs w:val="24"/>
              </w:rPr>
              <w:t>вещество</w:t>
            </w:r>
            <w:proofErr w:type="spellEnd"/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A40BE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Класс опасности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68F117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Выброс, т/год</w:t>
            </w:r>
          </w:p>
        </w:tc>
      </w:tr>
      <w:tr w:rsidR="004805DF" w:rsidRPr="005A5CBE" w14:paraId="576F1D84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5C1841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 xml:space="preserve">Оксиды </w:t>
            </w:r>
            <w:r w:rsidRPr="005A5CBE">
              <w:rPr>
                <w:rFonts w:cs="Times New Roman"/>
                <w:sz w:val="24"/>
                <w:szCs w:val="24"/>
              </w:rPr>
              <w:t>железа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1B33A7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9976CA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0,168</w:t>
            </w:r>
          </w:p>
        </w:tc>
      </w:tr>
      <w:tr w:rsidR="004805DF" w:rsidRPr="005A5CBE" w14:paraId="6E3D9145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CC2DA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Оксид меди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FFBA81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A2BD1B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0,052</w:t>
            </w:r>
          </w:p>
        </w:tc>
      </w:tr>
      <w:tr w:rsidR="004805DF" w:rsidRPr="005A5CBE" w14:paraId="72FE6A06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FAE37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Диоксид азота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F49576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168BC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1,452</w:t>
            </w:r>
          </w:p>
        </w:tc>
      </w:tr>
      <w:tr w:rsidR="004805DF" w:rsidRPr="005A5CBE" w14:paraId="112889B0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36629D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Аммиак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71F362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92C1FA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2,246</w:t>
            </w:r>
          </w:p>
        </w:tc>
      </w:tr>
      <w:tr w:rsidR="004805DF" w:rsidRPr="005A5CBE" w14:paraId="770F78AC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36CDB2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Оксид азота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7E1EAC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6B93BC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0,236</w:t>
            </w:r>
          </w:p>
        </w:tc>
      </w:tr>
      <w:tr w:rsidR="004805DF" w:rsidRPr="005A5CBE" w14:paraId="03770C1A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955579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Диоксид серы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FCC785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7EF482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1,642</w:t>
            </w:r>
          </w:p>
        </w:tc>
      </w:tr>
      <w:tr w:rsidR="004805DF" w:rsidRPr="005A5CBE" w14:paraId="28E12C74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17F201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Оксид углерода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ABB872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CFF470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3,802</w:t>
            </w:r>
          </w:p>
        </w:tc>
      </w:tr>
      <w:tr w:rsidR="004805DF" w:rsidRPr="005A5CBE" w14:paraId="5D5A6F80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7327B8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Взвешенные частицы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C7A5EC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350DAD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3,482</w:t>
            </w:r>
          </w:p>
        </w:tc>
      </w:tr>
      <w:tr w:rsidR="004805DF" w:rsidRPr="005A5CBE" w14:paraId="76E3858D" w14:textId="77777777" w:rsidTr="005A5CBE">
        <w:trPr>
          <w:cantSplit/>
          <w:jc w:val="center"/>
        </w:trPr>
        <w:tc>
          <w:tcPr>
            <w:tcW w:w="5216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74708B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b/>
                <w:sz w:val="24"/>
                <w:szCs w:val="24"/>
              </w:rPr>
              <w:t>Итого по проектным расчетам</w:t>
            </w:r>
          </w:p>
        </w:tc>
        <w:tc>
          <w:tcPr>
            <w:tcW w:w="181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0E65AE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—</w:t>
            </w:r>
          </w:p>
        </w:tc>
        <w:tc>
          <w:tcPr>
            <w:tcW w:w="243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5F8E51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b/>
                <w:sz w:val="24"/>
                <w:szCs w:val="24"/>
              </w:rPr>
              <w:t>13,079</w:t>
            </w:r>
          </w:p>
        </w:tc>
      </w:tr>
    </w:tbl>
    <w:p w14:paraId="1187610B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lastRenderedPageBreak/>
        <w:t xml:space="preserve">Для очистки газов от плавильной печи </w:t>
      </w:r>
      <w:r w:rsidRPr="005A5CBE">
        <w:rPr>
          <w:rFonts w:cs="Times New Roman"/>
          <w:sz w:val="24"/>
          <w:szCs w:val="24"/>
          <w:lang w:val="ru-RU"/>
        </w:rPr>
        <w:t xml:space="preserve">предусмотрена аспирационная система, включающая циклон, рукавный фильтр </w:t>
      </w:r>
      <w:r w:rsidRPr="005A5CBE">
        <w:rPr>
          <w:rFonts w:cs="Times New Roman"/>
          <w:sz w:val="24"/>
          <w:szCs w:val="24"/>
        </w:rPr>
        <w:t>MF</w:t>
      </w:r>
      <w:r w:rsidRPr="005A5CBE">
        <w:rPr>
          <w:rFonts w:cs="Times New Roman"/>
          <w:sz w:val="24"/>
          <w:szCs w:val="24"/>
          <w:lang w:val="ru-RU"/>
        </w:rPr>
        <w:t>–25/1 производительностью не менее 25 000 м³/ч, дымосос и дымовую трубу. Проектная эффективность очистки рукавного фильтра составляет 99,9 %, фактическая эффективность подлежит регул</w:t>
      </w:r>
      <w:r w:rsidRPr="005A5CBE">
        <w:rPr>
          <w:rFonts w:cs="Times New Roman"/>
          <w:sz w:val="24"/>
          <w:szCs w:val="24"/>
          <w:lang w:val="ru-RU"/>
        </w:rPr>
        <w:t>ярной проверке.</w:t>
      </w:r>
    </w:p>
    <w:p w14:paraId="11A2AF5A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Расчеты рассеивания выполнены с учетом метеорологических условий и фонового загрязнения воздуха. По результатам расчетов максимальные приземные концентрации на границе санитарно-защитной зоны не превышают установленных критериев качества ат</w:t>
      </w:r>
      <w:r w:rsidRPr="005A5CBE">
        <w:rPr>
          <w:rFonts w:cs="Times New Roman"/>
          <w:sz w:val="24"/>
          <w:szCs w:val="24"/>
          <w:lang w:val="ru-RU"/>
        </w:rPr>
        <w:t>мосферного воздуха (1 ПДК).</w:t>
      </w:r>
    </w:p>
    <w:p w14:paraId="292DC6B2" w14:textId="77777777" w:rsidR="004805DF" w:rsidRPr="005A5CBE" w:rsidRDefault="00E16D70" w:rsidP="005A5CBE">
      <w:pPr>
        <w:spacing w:before="10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4.2. Водоснабжение и водоотведение</w:t>
      </w:r>
    </w:p>
    <w:p w14:paraId="5C2C5A94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Водоснабжение осуществляется от существующих сетей на территории арендодателя. Расчетное водопотребление составляет 33,04 м³/сутки, водоотведение — 3,76 м³/сутки. Для охлаждения продукции приме</w:t>
      </w:r>
      <w:r w:rsidRPr="005A5CBE">
        <w:rPr>
          <w:rFonts w:cs="Times New Roman"/>
          <w:sz w:val="24"/>
          <w:szCs w:val="24"/>
          <w:lang w:val="ru-RU"/>
        </w:rPr>
        <w:t>няется оборотная техническая вода объемом 262,8 тыс. м³/год (30 м³/ч). Прямой забор воды из реки Иртыш не предусматривается. Сброс сточных вод в поверхностные и подземные водные объекты, на рельеф местности или в недра отсутствует.</w:t>
      </w:r>
    </w:p>
    <w:p w14:paraId="2C9BB749" w14:textId="77777777" w:rsidR="004805DF" w:rsidRPr="005A5CBE" w:rsidRDefault="00E16D70" w:rsidP="005A5CBE">
      <w:pPr>
        <w:spacing w:before="10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4.3. Отходы производства</w:t>
      </w:r>
      <w:r w:rsidRPr="005A5CBE">
        <w:rPr>
          <w:rFonts w:cs="Times New Roman"/>
          <w:b/>
          <w:sz w:val="24"/>
          <w:szCs w:val="24"/>
          <w:lang w:val="ru-RU"/>
        </w:rPr>
        <w:t xml:space="preserve"> и потребления</w:t>
      </w:r>
    </w:p>
    <w:p w14:paraId="6CD324FD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5A5CBE">
        <w:rPr>
          <w:rFonts w:cs="Times New Roman"/>
          <w:sz w:val="24"/>
          <w:szCs w:val="24"/>
          <w:lang w:val="ru-RU"/>
        </w:rPr>
        <w:t xml:space="preserve">Основными отходами с установленными количественными показателями являются металлургический шлак и смешанные коммунальные отходы. </w:t>
      </w:r>
      <w:proofErr w:type="spellStart"/>
      <w:r w:rsidRPr="005A5CBE">
        <w:rPr>
          <w:rFonts w:cs="Times New Roman"/>
          <w:sz w:val="24"/>
          <w:szCs w:val="24"/>
        </w:rPr>
        <w:t>Общий</w:t>
      </w:r>
      <w:proofErr w:type="spellEnd"/>
      <w:r w:rsidRPr="005A5CBE">
        <w:rPr>
          <w:rFonts w:cs="Times New Roman"/>
          <w:sz w:val="24"/>
          <w:szCs w:val="24"/>
        </w:rPr>
        <w:t xml:space="preserve"> </w:t>
      </w:r>
      <w:proofErr w:type="spellStart"/>
      <w:r w:rsidRPr="005A5CBE">
        <w:rPr>
          <w:rFonts w:cs="Times New Roman"/>
          <w:sz w:val="24"/>
          <w:szCs w:val="24"/>
        </w:rPr>
        <w:t>ежегодный</w:t>
      </w:r>
      <w:proofErr w:type="spellEnd"/>
      <w:r w:rsidRPr="005A5CBE">
        <w:rPr>
          <w:rFonts w:cs="Times New Roman"/>
          <w:sz w:val="24"/>
          <w:szCs w:val="24"/>
        </w:rPr>
        <w:t xml:space="preserve"> </w:t>
      </w:r>
      <w:proofErr w:type="spellStart"/>
      <w:r w:rsidRPr="005A5CBE">
        <w:rPr>
          <w:rFonts w:cs="Times New Roman"/>
          <w:sz w:val="24"/>
          <w:szCs w:val="24"/>
        </w:rPr>
        <w:t>объем</w:t>
      </w:r>
      <w:proofErr w:type="spellEnd"/>
      <w:r w:rsidRPr="005A5CBE">
        <w:rPr>
          <w:rFonts w:cs="Times New Roman"/>
          <w:sz w:val="24"/>
          <w:szCs w:val="24"/>
        </w:rPr>
        <w:t xml:space="preserve"> </w:t>
      </w:r>
      <w:proofErr w:type="spellStart"/>
      <w:r w:rsidRPr="005A5CBE">
        <w:rPr>
          <w:rFonts w:cs="Times New Roman"/>
          <w:sz w:val="24"/>
          <w:szCs w:val="24"/>
        </w:rPr>
        <w:t>таких</w:t>
      </w:r>
      <w:proofErr w:type="spellEnd"/>
      <w:r w:rsidRPr="005A5CBE">
        <w:rPr>
          <w:rFonts w:cs="Times New Roman"/>
          <w:sz w:val="24"/>
          <w:szCs w:val="24"/>
        </w:rPr>
        <w:t xml:space="preserve"> отходов составляет 404,35 т/год.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191"/>
        <w:gridCol w:w="1191"/>
        <w:gridCol w:w="2268"/>
        <w:gridCol w:w="2891"/>
      </w:tblGrid>
      <w:tr w:rsidR="004805DF" w:rsidRPr="005A5CBE" w14:paraId="2B2B0A30" w14:textId="77777777" w:rsidTr="005A5CBE">
        <w:trPr>
          <w:cantSplit/>
          <w:tblHeader/>
          <w:jc w:val="center"/>
        </w:trPr>
        <w:tc>
          <w:tcPr>
            <w:tcW w:w="192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3EE3F6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Отход</w:t>
            </w:r>
          </w:p>
        </w:tc>
        <w:tc>
          <w:tcPr>
            <w:tcW w:w="11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BC3D7E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Код</w:t>
            </w:r>
          </w:p>
        </w:tc>
        <w:tc>
          <w:tcPr>
            <w:tcW w:w="11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FDE9E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Объем, т/год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5C370E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 xml:space="preserve">Временное </w:t>
            </w:r>
            <w:r w:rsidRPr="005A5CBE">
              <w:rPr>
                <w:rFonts w:cs="Times New Roman"/>
                <w:sz w:val="24"/>
                <w:szCs w:val="24"/>
              </w:rPr>
              <w:t>накопление</w:t>
            </w:r>
          </w:p>
        </w:tc>
        <w:tc>
          <w:tcPr>
            <w:tcW w:w="28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B8DE0B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Дальнейшее обращение</w:t>
            </w:r>
          </w:p>
        </w:tc>
      </w:tr>
      <w:tr w:rsidR="004805DF" w:rsidRPr="005A5CBE" w14:paraId="390CA126" w14:textId="77777777" w:rsidTr="005A5CBE">
        <w:trPr>
          <w:cantSplit/>
          <w:jc w:val="center"/>
        </w:trPr>
        <w:tc>
          <w:tcPr>
            <w:tcW w:w="192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32A42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Металлургический шлак</w:t>
            </w:r>
          </w:p>
        </w:tc>
        <w:tc>
          <w:tcPr>
            <w:tcW w:w="11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CF9E3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10 06 01</w:t>
            </w:r>
          </w:p>
        </w:tc>
        <w:tc>
          <w:tcPr>
            <w:tcW w:w="11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F68DF5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B0DD3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 xml:space="preserve">После охлаждения — в </w:t>
            </w:r>
            <w:proofErr w:type="spellStart"/>
            <w:r w:rsidRPr="005A5CBE">
              <w:rPr>
                <w:rFonts w:cs="Times New Roman"/>
                <w:sz w:val="24"/>
                <w:szCs w:val="24"/>
                <w:lang w:val="ru-RU"/>
              </w:rPr>
              <w:t>биг-бэгах</w:t>
            </w:r>
            <w:proofErr w:type="spellEnd"/>
            <w:r w:rsidRPr="005A5CBE">
              <w:rPr>
                <w:rFonts w:cs="Times New Roman"/>
                <w:sz w:val="24"/>
                <w:szCs w:val="24"/>
                <w:lang w:val="ru-RU"/>
              </w:rPr>
              <w:t xml:space="preserve"> на бетонном покрытии</w:t>
            </w:r>
          </w:p>
        </w:tc>
        <w:tc>
          <w:tcPr>
            <w:tcW w:w="28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24B3A5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Передача сторонним организациям для восстановления и использования как вторичного ресурса</w:t>
            </w:r>
          </w:p>
        </w:tc>
      </w:tr>
      <w:tr w:rsidR="004805DF" w:rsidRPr="005A5CBE" w14:paraId="11E2DCCD" w14:textId="77777777" w:rsidTr="005A5CBE">
        <w:trPr>
          <w:cantSplit/>
          <w:jc w:val="center"/>
        </w:trPr>
        <w:tc>
          <w:tcPr>
            <w:tcW w:w="192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8F1156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5A5CBE">
              <w:rPr>
                <w:rFonts w:cs="Times New Roman"/>
                <w:sz w:val="24"/>
                <w:szCs w:val="24"/>
              </w:rPr>
              <w:t>Смешанные</w:t>
            </w:r>
            <w:proofErr w:type="spellEnd"/>
            <w:r w:rsidRPr="005A5CB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sz w:val="24"/>
                <w:szCs w:val="24"/>
              </w:rPr>
              <w:t>коммунальные</w:t>
            </w:r>
            <w:proofErr w:type="spellEnd"/>
            <w:r w:rsidRPr="005A5CB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A5CBE">
              <w:rPr>
                <w:rFonts w:cs="Times New Roman"/>
                <w:sz w:val="24"/>
                <w:szCs w:val="24"/>
              </w:rPr>
              <w:t>отходы</w:t>
            </w:r>
            <w:proofErr w:type="spellEnd"/>
          </w:p>
        </w:tc>
        <w:tc>
          <w:tcPr>
            <w:tcW w:w="11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98E49C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20 03 01</w:t>
            </w:r>
          </w:p>
        </w:tc>
        <w:tc>
          <w:tcPr>
            <w:tcW w:w="11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8722BE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4,35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4CA66A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Закрытый маркированный контейнер на твердом покрытии</w:t>
            </w:r>
          </w:p>
        </w:tc>
        <w:tc>
          <w:tcPr>
            <w:tcW w:w="289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99371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Передача специализированной организации по договору</w:t>
            </w:r>
          </w:p>
        </w:tc>
      </w:tr>
    </w:tbl>
    <w:p w14:paraId="473D528E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 xml:space="preserve">Металлическая </w:t>
      </w:r>
      <w:proofErr w:type="spellStart"/>
      <w:r w:rsidRPr="005A5CBE">
        <w:rPr>
          <w:rFonts w:cs="Times New Roman"/>
          <w:sz w:val="24"/>
          <w:szCs w:val="24"/>
          <w:lang w:val="ru-RU"/>
        </w:rPr>
        <w:t>обрезь</w:t>
      </w:r>
      <w:proofErr w:type="spellEnd"/>
      <w:r w:rsidRPr="005A5CBE">
        <w:rPr>
          <w:rFonts w:cs="Times New Roman"/>
          <w:sz w:val="24"/>
          <w:szCs w:val="24"/>
          <w:lang w:val="ru-RU"/>
        </w:rPr>
        <w:t>, стружка, пресс-остатки, окалина и металлическая пыль собираются раздельно и по возможности возвращаются в производство либо</w:t>
      </w:r>
      <w:r w:rsidRPr="005A5CBE">
        <w:rPr>
          <w:rFonts w:cs="Times New Roman"/>
          <w:sz w:val="24"/>
          <w:szCs w:val="24"/>
          <w:lang w:val="ru-RU"/>
        </w:rPr>
        <w:t xml:space="preserve"> передаются на восстановление. Использованные фильтрующие материалы, загрязненная ветошь и сорбенты, отработанные масла, упаковка, а также отходы, возникающие при аварийных проливах, учитываются по факту образования, хранятся в предназначенной маркированно</w:t>
      </w:r>
      <w:r w:rsidRPr="005A5CBE">
        <w:rPr>
          <w:rFonts w:cs="Times New Roman"/>
          <w:sz w:val="24"/>
          <w:szCs w:val="24"/>
          <w:lang w:val="ru-RU"/>
        </w:rPr>
        <w:t>й таре и передаются специализированным организациям.</w:t>
      </w:r>
    </w:p>
    <w:p w14:paraId="1694E043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Собственного полигона или объекта захоронения предприятие не имеет. Временное накопление допускается только в специально оборудованных местах с последующей передачей отходов; срок накопления на месте обр</w:t>
      </w:r>
      <w:r w:rsidRPr="005A5CBE">
        <w:rPr>
          <w:rFonts w:cs="Times New Roman"/>
          <w:sz w:val="24"/>
          <w:szCs w:val="24"/>
          <w:lang w:val="ru-RU"/>
        </w:rPr>
        <w:t>азования не должен превышать установленный законодательством период.</w:t>
      </w:r>
    </w:p>
    <w:p w14:paraId="686C3989" w14:textId="77777777" w:rsidR="004805DF" w:rsidRPr="005A5CBE" w:rsidRDefault="00E16D70" w:rsidP="005A5CBE">
      <w:pPr>
        <w:spacing w:before="10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4.4. Земельные ресурсы, растительность и животный мир</w:t>
      </w:r>
    </w:p>
    <w:p w14:paraId="1AE83CC0" w14:textId="353F8227" w:rsidR="004805DF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Работы выполняются в пределах существующей промышленной площадки с твердым покрытием. Леса, сельскохозяйственные угодья, дачные участ</w:t>
      </w:r>
      <w:r w:rsidRPr="005A5CBE">
        <w:rPr>
          <w:rFonts w:cs="Times New Roman"/>
          <w:sz w:val="24"/>
          <w:szCs w:val="24"/>
          <w:lang w:val="ru-RU"/>
        </w:rPr>
        <w:t>ки и особо охраняемые природные территории в радиусе 1000 м отсутствуют. Для снижения запыленности и улучшения состояния санитарно-защитной зоны предусмотрена посадка зеленых насаждений со стороны жилой зоны.</w:t>
      </w:r>
    </w:p>
    <w:p w14:paraId="6070DE4C" w14:textId="650CE911" w:rsidR="005A5CBE" w:rsidRDefault="005A5CBE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</w:p>
    <w:p w14:paraId="3B561AC0" w14:textId="714D0EF7" w:rsidR="005A5CBE" w:rsidRDefault="005A5CBE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</w:p>
    <w:p w14:paraId="3444040E" w14:textId="77777777" w:rsidR="005A5CBE" w:rsidRPr="005A5CBE" w:rsidRDefault="005A5CBE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</w:p>
    <w:p w14:paraId="5A6F4E84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</w:rPr>
      </w:pPr>
      <w:r w:rsidRPr="005A5CBE">
        <w:rPr>
          <w:rFonts w:cs="Times New Roman"/>
          <w:b/>
          <w:sz w:val="24"/>
          <w:szCs w:val="24"/>
        </w:rPr>
        <w:lastRenderedPageBreak/>
        <w:t>5. Природоохранные мероприятия</w:t>
      </w:r>
    </w:p>
    <w:tbl>
      <w:tblPr>
        <w:tblW w:w="0" w:type="auto"/>
        <w:jc w:val="center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1304"/>
        <w:gridCol w:w="1757"/>
        <w:gridCol w:w="3345"/>
      </w:tblGrid>
      <w:tr w:rsidR="004805DF" w:rsidRPr="005A5CBE" w14:paraId="147075FE" w14:textId="77777777" w:rsidTr="005A5CBE">
        <w:trPr>
          <w:cantSplit/>
          <w:tblHeader/>
          <w:jc w:val="center"/>
        </w:trPr>
        <w:tc>
          <w:tcPr>
            <w:tcW w:w="306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2403B4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0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AF03DB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Пери</w:t>
            </w:r>
            <w:r w:rsidRPr="005A5CBE">
              <w:rPr>
                <w:rFonts w:cs="Times New Roman"/>
                <w:sz w:val="24"/>
                <w:szCs w:val="24"/>
              </w:rPr>
              <w:t>од</w:t>
            </w:r>
          </w:p>
        </w:tc>
        <w:tc>
          <w:tcPr>
            <w:tcW w:w="175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33BEF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Финансирование, тыс. тенге</w:t>
            </w:r>
          </w:p>
        </w:tc>
        <w:tc>
          <w:tcPr>
            <w:tcW w:w="3345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315AAD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Ожидаемый результат</w:t>
            </w:r>
          </w:p>
        </w:tc>
      </w:tr>
      <w:tr w:rsidR="004805DF" w:rsidRPr="005A5CBE" w14:paraId="6B5B874F" w14:textId="77777777" w:rsidTr="005A5CBE">
        <w:trPr>
          <w:cantSplit/>
          <w:jc w:val="center"/>
        </w:trPr>
        <w:tc>
          <w:tcPr>
            <w:tcW w:w="306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6B4E44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Профилактическое обслуживание пылегазоочистного оборудования</w:t>
            </w:r>
          </w:p>
        </w:tc>
        <w:tc>
          <w:tcPr>
            <w:tcW w:w="130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A65AF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2026–2035</w:t>
            </w:r>
          </w:p>
        </w:tc>
        <w:tc>
          <w:tcPr>
            <w:tcW w:w="175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FDCFBD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3345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175D1B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Стабильная работа системы очистки и предупреждение сверхнормативных выбросов</w:t>
            </w:r>
          </w:p>
        </w:tc>
      </w:tr>
      <w:tr w:rsidR="004805DF" w:rsidRPr="005A5CBE" w14:paraId="79E7A701" w14:textId="77777777" w:rsidTr="005A5CBE">
        <w:trPr>
          <w:cantSplit/>
          <w:jc w:val="center"/>
        </w:trPr>
        <w:tc>
          <w:tcPr>
            <w:tcW w:w="306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62CBE0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 xml:space="preserve">Инструментальные замеры в рамках </w:t>
            </w:r>
            <w:r w:rsidRPr="005A5CBE">
              <w:rPr>
                <w:rFonts w:cs="Times New Roman"/>
                <w:sz w:val="24"/>
                <w:szCs w:val="24"/>
                <w:lang w:val="ru-RU"/>
              </w:rPr>
              <w:t>производственного экологического контроля</w:t>
            </w:r>
          </w:p>
        </w:tc>
        <w:tc>
          <w:tcPr>
            <w:tcW w:w="130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3412B0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2026–2035</w:t>
            </w:r>
          </w:p>
        </w:tc>
        <w:tc>
          <w:tcPr>
            <w:tcW w:w="175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BDBA44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3345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9F6B64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Контроль соблюдения нормативов и своевременное выявление отклонений</w:t>
            </w:r>
          </w:p>
        </w:tc>
      </w:tr>
      <w:tr w:rsidR="004805DF" w:rsidRPr="005A5CBE" w14:paraId="7FF12CB2" w14:textId="77777777" w:rsidTr="005A5CBE">
        <w:trPr>
          <w:cantSplit/>
          <w:jc w:val="center"/>
        </w:trPr>
        <w:tc>
          <w:tcPr>
            <w:tcW w:w="306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FEBCBC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Посадка зеленых насаждений в санитарно-защитной зоне (планом предусмотрено 50 саженцев)</w:t>
            </w:r>
          </w:p>
        </w:tc>
        <w:tc>
          <w:tcPr>
            <w:tcW w:w="130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9B5D60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2026–2035</w:t>
            </w:r>
          </w:p>
        </w:tc>
        <w:tc>
          <w:tcPr>
            <w:tcW w:w="175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5A06FD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3345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CAECF5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Снижение запыленности и допол</w:t>
            </w:r>
            <w:r w:rsidRPr="005A5CBE">
              <w:rPr>
                <w:rFonts w:cs="Times New Roman"/>
                <w:sz w:val="24"/>
                <w:szCs w:val="24"/>
                <w:lang w:val="ru-RU"/>
              </w:rPr>
              <w:t>нительное озеленение территории</w:t>
            </w:r>
          </w:p>
        </w:tc>
      </w:tr>
      <w:tr w:rsidR="004805DF" w:rsidRPr="005A5CBE" w14:paraId="46ECEA50" w14:textId="77777777" w:rsidTr="005A5CBE">
        <w:trPr>
          <w:cantSplit/>
          <w:jc w:val="center"/>
        </w:trPr>
        <w:tc>
          <w:tcPr>
            <w:tcW w:w="3061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4CA39F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Раздельный сбор, учет и передача отходов; содержание мест временного накопления</w:t>
            </w:r>
          </w:p>
        </w:tc>
        <w:tc>
          <w:tcPr>
            <w:tcW w:w="1304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2DE773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2026–2035</w:t>
            </w:r>
          </w:p>
        </w:tc>
        <w:tc>
          <w:tcPr>
            <w:tcW w:w="1757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14F4B4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5A5CBE">
              <w:rPr>
                <w:rFonts w:cs="Times New Roman"/>
                <w:sz w:val="24"/>
                <w:szCs w:val="24"/>
              </w:rPr>
              <w:t>100 ежегодно; 1000 за период</w:t>
            </w:r>
          </w:p>
        </w:tc>
        <w:tc>
          <w:tcPr>
            <w:tcW w:w="3345" w:type="dxa"/>
            <w:shd w:val="clear" w:color="auto" w:fill="auto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FC73A2" w14:textId="77777777" w:rsidR="004805DF" w:rsidRPr="005A5CBE" w:rsidRDefault="00E16D70" w:rsidP="005A5CBE">
            <w:pPr>
              <w:spacing w:after="0" w:line="240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5A5CBE">
              <w:rPr>
                <w:rFonts w:cs="Times New Roman"/>
                <w:sz w:val="24"/>
                <w:szCs w:val="24"/>
                <w:lang w:val="ru-RU"/>
              </w:rPr>
              <w:t>Исключение несанкционированного размещения и максимальное направление отходов на восстановление/перерабо</w:t>
            </w:r>
            <w:r w:rsidRPr="005A5CBE">
              <w:rPr>
                <w:rFonts w:cs="Times New Roman"/>
                <w:sz w:val="24"/>
                <w:szCs w:val="24"/>
                <w:lang w:val="ru-RU"/>
              </w:rPr>
              <w:t>тку</w:t>
            </w:r>
          </w:p>
        </w:tc>
      </w:tr>
    </w:tbl>
    <w:p w14:paraId="09E5DE73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Финансирование мероприятий осуществляется за счет собственных средств предприятия. Конкретные расходы могут уточняться при формировании ежегодного бюджета.</w:t>
      </w:r>
    </w:p>
    <w:p w14:paraId="52939E05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6. Производственный экологический контроль</w:t>
      </w:r>
    </w:p>
    <w:p w14:paraId="04220128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5A5CBE">
        <w:rPr>
          <w:rFonts w:cs="Times New Roman"/>
          <w:sz w:val="24"/>
          <w:szCs w:val="24"/>
          <w:lang w:val="ru-RU"/>
        </w:rPr>
        <w:t xml:space="preserve">В период эксплуатации предприятие будет </w:t>
      </w:r>
      <w:r w:rsidRPr="005A5CBE">
        <w:rPr>
          <w:rFonts w:cs="Times New Roman"/>
          <w:sz w:val="24"/>
          <w:szCs w:val="24"/>
          <w:lang w:val="ru-RU"/>
        </w:rPr>
        <w:t xml:space="preserve">осуществлять внутренний учет и экологический мониторинг. </w:t>
      </w:r>
      <w:proofErr w:type="spellStart"/>
      <w:r w:rsidRPr="005A5CBE">
        <w:rPr>
          <w:rFonts w:cs="Times New Roman"/>
          <w:sz w:val="24"/>
          <w:szCs w:val="24"/>
        </w:rPr>
        <w:t>Основные</w:t>
      </w:r>
      <w:proofErr w:type="spellEnd"/>
      <w:r w:rsidRPr="005A5CBE">
        <w:rPr>
          <w:rFonts w:cs="Times New Roman"/>
          <w:sz w:val="24"/>
          <w:szCs w:val="24"/>
        </w:rPr>
        <w:t xml:space="preserve"> </w:t>
      </w:r>
      <w:proofErr w:type="spellStart"/>
      <w:r w:rsidRPr="005A5CBE">
        <w:rPr>
          <w:rFonts w:cs="Times New Roman"/>
          <w:sz w:val="24"/>
          <w:szCs w:val="24"/>
        </w:rPr>
        <w:t>виды</w:t>
      </w:r>
      <w:proofErr w:type="spellEnd"/>
      <w:r w:rsidRPr="005A5CBE">
        <w:rPr>
          <w:rFonts w:cs="Times New Roman"/>
          <w:sz w:val="24"/>
          <w:szCs w:val="24"/>
        </w:rPr>
        <w:t xml:space="preserve"> </w:t>
      </w:r>
      <w:proofErr w:type="spellStart"/>
      <w:r w:rsidRPr="005A5CBE">
        <w:rPr>
          <w:rFonts w:cs="Times New Roman"/>
          <w:sz w:val="24"/>
          <w:szCs w:val="24"/>
        </w:rPr>
        <w:t>контроля</w:t>
      </w:r>
      <w:proofErr w:type="spellEnd"/>
      <w:r w:rsidRPr="005A5CBE">
        <w:rPr>
          <w:rFonts w:cs="Times New Roman"/>
          <w:sz w:val="24"/>
          <w:szCs w:val="24"/>
        </w:rPr>
        <w:t>:</w:t>
      </w:r>
    </w:p>
    <w:p w14:paraId="27931F1E" w14:textId="77777777" w:rsidR="004805DF" w:rsidRPr="005A5CBE" w:rsidRDefault="00E16D70" w:rsidP="005A5CBE">
      <w:pPr>
        <w:pStyle w:val="a0"/>
        <w:spacing w:after="0" w:line="240" w:lineRule="auto"/>
        <w:ind w:left="369" w:hanging="198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ежеквартальный расчетный контроль выбросов по действующим источникам;</w:t>
      </w:r>
    </w:p>
    <w:p w14:paraId="521D9598" w14:textId="77777777" w:rsidR="004805DF" w:rsidRPr="005A5CBE" w:rsidRDefault="00E16D70" w:rsidP="005A5CBE">
      <w:pPr>
        <w:pStyle w:val="a0"/>
        <w:spacing w:after="0" w:line="240" w:lineRule="auto"/>
        <w:ind w:left="369" w:hanging="198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инструментальные измерения на источнике № 0001 один раз в полугодие аккредитованной лабораторией;</w:t>
      </w:r>
    </w:p>
    <w:p w14:paraId="5400BDF0" w14:textId="77777777" w:rsidR="004805DF" w:rsidRPr="005A5CBE" w:rsidRDefault="00E16D70" w:rsidP="005A5CBE">
      <w:pPr>
        <w:pStyle w:val="a0"/>
        <w:spacing w:after="0" w:line="240" w:lineRule="auto"/>
        <w:ind w:left="369" w:hanging="198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проверк</w:t>
      </w:r>
      <w:r w:rsidRPr="005A5CBE">
        <w:rPr>
          <w:rFonts w:cs="Times New Roman"/>
          <w:sz w:val="24"/>
          <w:szCs w:val="24"/>
          <w:lang w:val="ru-RU"/>
        </w:rPr>
        <w:t xml:space="preserve">а эффективности </w:t>
      </w:r>
      <w:proofErr w:type="spellStart"/>
      <w:r w:rsidRPr="005A5CBE">
        <w:rPr>
          <w:rFonts w:cs="Times New Roman"/>
          <w:sz w:val="24"/>
          <w:szCs w:val="24"/>
          <w:lang w:val="ru-RU"/>
        </w:rPr>
        <w:t>пылегазоочистного</w:t>
      </w:r>
      <w:proofErr w:type="spellEnd"/>
      <w:r w:rsidRPr="005A5CBE">
        <w:rPr>
          <w:rFonts w:cs="Times New Roman"/>
          <w:sz w:val="24"/>
          <w:szCs w:val="24"/>
          <w:lang w:val="ru-RU"/>
        </w:rPr>
        <w:t xml:space="preserve"> оборудования не реже одного раза в год и постоянный контроль его исправности;</w:t>
      </w:r>
    </w:p>
    <w:p w14:paraId="3B83723C" w14:textId="77777777" w:rsidR="004805DF" w:rsidRPr="005A5CBE" w:rsidRDefault="00E16D70" w:rsidP="005A5CBE">
      <w:pPr>
        <w:pStyle w:val="a0"/>
        <w:spacing w:after="0" w:line="240" w:lineRule="auto"/>
        <w:ind w:left="369" w:hanging="198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контроль качества атмосферного воздуха на границе санитарно-защитной зоны один раз в год;</w:t>
      </w:r>
    </w:p>
    <w:p w14:paraId="3CC23DAA" w14:textId="77777777" w:rsidR="004805DF" w:rsidRPr="005A5CBE" w:rsidRDefault="00E16D70" w:rsidP="005A5CBE">
      <w:pPr>
        <w:pStyle w:val="a0"/>
        <w:spacing w:after="0" w:line="240" w:lineRule="auto"/>
        <w:ind w:left="369" w:hanging="198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учет количества и движения отходов, контроль мест их в</w:t>
      </w:r>
      <w:r w:rsidRPr="005A5CBE">
        <w:rPr>
          <w:rFonts w:cs="Times New Roman"/>
          <w:sz w:val="24"/>
          <w:szCs w:val="24"/>
          <w:lang w:val="ru-RU"/>
        </w:rPr>
        <w:t>ременного накопления и наличия договоров на передачу;</w:t>
      </w:r>
    </w:p>
    <w:p w14:paraId="02C482BF" w14:textId="77777777" w:rsidR="004805DF" w:rsidRPr="005A5CBE" w:rsidRDefault="00E16D70" w:rsidP="005A5CBE">
      <w:pPr>
        <w:pStyle w:val="a0"/>
        <w:spacing w:after="0" w:line="240" w:lineRule="auto"/>
        <w:ind w:left="369" w:hanging="198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контроль герметичности оборотной системы водоснабжения и недопущение попадания масел, металлической стружки и шлама в систему водоотведения;</w:t>
      </w:r>
    </w:p>
    <w:p w14:paraId="47D880A6" w14:textId="77777777" w:rsidR="004805DF" w:rsidRPr="005A5CBE" w:rsidRDefault="00E16D70" w:rsidP="005A5CBE">
      <w:pPr>
        <w:pStyle w:val="a0"/>
        <w:spacing w:after="0" w:line="240" w:lineRule="auto"/>
        <w:ind w:left="369" w:hanging="198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проведение внутренних проверок соблюдения условий экологическ</w:t>
      </w:r>
      <w:r w:rsidRPr="005A5CBE">
        <w:rPr>
          <w:rFonts w:cs="Times New Roman"/>
          <w:sz w:val="24"/>
          <w:szCs w:val="24"/>
          <w:lang w:val="ru-RU"/>
        </w:rPr>
        <w:t>ого разрешения и подготовка обязательной экологической отчетности.</w:t>
      </w:r>
    </w:p>
    <w:p w14:paraId="57CC410A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t>7. Предупреждение аварийных ситуаций</w:t>
      </w:r>
    </w:p>
    <w:p w14:paraId="51E7FA38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Экологические риски снижаются за счет входного контроля сырья, запрета загрузки влажного и загрязненного лома, постоянного контроля печей и газоочистки,</w:t>
      </w:r>
      <w:r w:rsidRPr="005A5CBE">
        <w:rPr>
          <w:rFonts w:cs="Times New Roman"/>
          <w:sz w:val="24"/>
          <w:szCs w:val="24"/>
          <w:lang w:val="ru-RU"/>
        </w:rPr>
        <w:t xml:space="preserve"> наличия твердого покрытия и специальной тары для отходов. При неисправности печи или системы очистки работа оборудования должна быть остановлена до устранения неисправности. Возможные проливы технических жидкостей локализуются сорбентами, а загрязненные м</w:t>
      </w:r>
      <w:r w:rsidRPr="005A5CBE">
        <w:rPr>
          <w:rFonts w:cs="Times New Roman"/>
          <w:sz w:val="24"/>
          <w:szCs w:val="24"/>
          <w:lang w:val="ru-RU"/>
        </w:rPr>
        <w:t>атериалы и грунт собираются отдельно и передаются специализированной организации.</w:t>
      </w:r>
    </w:p>
    <w:p w14:paraId="4B770B2A" w14:textId="77777777" w:rsidR="004805DF" w:rsidRPr="005A5CBE" w:rsidRDefault="00E16D70" w:rsidP="005A5CBE">
      <w:pPr>
        <w:spacing w:before="160" w:after="0" w:line="240" w:lineRule="auto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b/>
          <w:sz w:val="24"/>
          <w:szCs w:val="24"/>
          <w:lang w:val="ru-RU"/>
        </w:rPr>
        <w:lastRenderedPageBreak/>
        <w:t>8. Итоговая оценка</w:t>
      </w:r>
    </w:p>
    <w:p w14:paraId="30F4156A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>Эксплуатация ТОО «</w:t>
      </w:r>
      <w:r w:rsidRPr="005A5CBE">
        <w:rPr>
          <w:rFonts w:cs="Times New Roman"/>
          <w:sz w:val="24"/>
          <w:szCs w:val="24"/>
        </w:rPr>
        <w:t>Brass</w:t>
      </w:r>
      <w:r w:rsidRPr="005A5CBE">
        <w:rPr>
          <w:rFonts w:cs="Times New Roman"/>
          <w:sz w:val="24"/>
          <w:szCs w:val="24"/>
          <w:lang w:val="ru-RU"/>
        </w:rPr>
        <w:t xml:space="preserve"> </w:t>
      </w:r>
      <w:r w:rsidRPr="005A5CBE">
        <w:rPr>
          <w:rFonts w:cs="Times New Roman"/>
          <w:sz w:val="24"/>
          <w:szCs w:val="24"/>
        </w:rPr>
        <w:t>of</w:t>
      </w:r>
      <w:r w:rsidRPr="005A5CBE">
        <w:rPr>
          <w:rFonts w:cs="Times New Roman"/>
          <w:sz w:val="24"/>
          <w:szCs w:val="24"/>
          <w:lang w:val="ru-RU"/>
        </w:rPr>
        <w:t xml:space="preserve"> </w:t>
      </w:r>
      <w:proofErr w:type="spellStart"/>
      <w:r w:rsidRPr="005A5CBE">
        <w:rPr>
          <w:rFonts w:cs="Times New Roman"/>
          <w:sz w:val="24"/>
          <w:szCs w:val="24"/>
        </w:rPr>
        <w:t>Qazaqstan</w:t>
      </w:r>
      <w:proofErr w:type="spellEnd"/>
      <w:r w:rsidRPr="005A5CBE">
        <w:rPr>
          <w:rFonts w:cs="Times New Roman"/>
          <w:sz w:val="24"/>
          <w:szCs w:val="24"/>
          <w:lang w:val="ru-RU"/>
        </w:rPr>
        <w:t xml:space="preserve"> </w:t>
      </w:r>
      <w:r w:rsidRPr="005A5CBE">
        <w:rPr>
          <w:rFonts w:cs="Times New Roman"/>
          <w:sz w:val="24"/>
          <w:szCs w:val="24"/>
        </w:rPr>
        <w:t>PVL</w:t>
      </w:r>
      <w:r w:rsidRPr="005A5CBE">
        <w:rPr>
          <w:rFonts w:cs="Times New Roman"/>
          <w:sz w:val="24"/>
          <w:szCs w:val="24"/>
          <w:lang w:val="ru-RU"/>
        </w:rPr>
        <w:t>» планируется на существующей промышленной площадке при сниженной производственной мощности, соответствующей объект</w:t>
      </w:r>
      <w:r w:rsidRPr="005A5CBE">
        <w:rPr>
          <w:rFonts w:cs="Times New Roman"/>
          <w:sz w:val="24"/>
          <w:szCs w:val="24"/>
          <w:lang w:val="ru-RU"/>
        </w:rPr>
        <w:t xml:space="preserve">у </w:t>
      </w:r>
      <w:r w:rsidRPr="005A5CBE">
        <w:rPr>
          <w:rFonts w:cs="Times New Roman"/>
          <w:sz w:val="24"/>
          <w:szCs w:val="24"/>
        </w:rPr>
        <w:t>II</w:t>
      </w:r>
      <w:r w:rsidRPr="005A5CBE">
        <w:rPr>
          <w:rFonts w:cs="Times New Roman"/>
          <w:sz w:val="24"/>
          <w:szCs w:val="24"/>
          <w:lang w:val="ru-RU"/>
        </w:rPr>
        <w:t xml:space="preserve"> категории. Основное воздействие связано с выбросами в атмосферный воздух и образованием металлургического шлака. Предусмотренные системы газоочистки, оборотного водоснабжения, раздельного сбора отходов и производственного экологического контроля позво</w:t>
      </w:r>
      <w:r w:rsidRPr="005A5CBE">
        <w:rPr>
          <w:rFonts w:cs="Times New Roman"/>
          <w:sz w:val="24"/>
          <w:szCs w:val="24"/>
          <w:lang w:val="ru-RU"/>
        </w:rPr>
        <w:t>ляют удерживать воздействие в пределах установленных экологических требований.</w:t>
      </w:r>
    </w:p>
    <w:p w14:paraId="1EE63E1B" w14:textId="77777777" w:rsidR="004805DF" w:rsidRPr="005A5CBE" w:rsidRDefault="00E16D70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  <w:r w:rsidRPr="005A5CBE">
        <w:rPr>
          <w:rFonts w:cs="Times New Roman"/>
          <w:sz w:val="24"/>
          <w:szCs w:val="24"/>
          <w:lang w:val="ru-RU"/>
        </w:rPr>
        <w:t xml:space="preserve">По результатам расчетов рассеивания нормативы качества атмосферного воздуха на границе санитарно-защитной зоны соблюдаются. Сброс загрязненных сточных вод в природные объекты и </w:t>
      </w:r>
      <w:r w:rsidRPr="005A5CBE">
        <w:rPr>
          <w:rFonts w:cs="Times New Roman"/>
          <w:sz w:val="24"/>
          <w:szCs w:val="24"/>
          <w:lang w:val="ru-RU"/>
        </w:rPr>
        <w:t>захоронение отходов на территории предприятия не предусматриваются. Металлургический шлак планируется направлять на дальнейшее использование, а остальные отходы — передавать специализированным организациям.</w:t>
      </w:r>
    </w:p>
    <w:p w14:paraId="6D531058" w14:textId="5F4953EB" w:rsidR="004805DF" w:rsidRPr="005A5CBE" w:rsidRDefault="004805DF" w:rsidP="005A5CBE">
      <w:pPr>
        <w:spacing w:after="0" w:line="240" w:lineRule="auto"/>
        <w:ind w:firstLine="567"/>
        <w:jc w:val="both"/>
        <w:rPr>
          <w:rFonts w:cs="Times New Roman"/>
          <w:sz w:val="24"/>
          <w:szCs w:val="24"/>
          <w:lang w:val="ru-RU"/>
        </w:rPr>
      </w:pPr>
    </w:p>
    <w:sectPr w:rsidR="004805DF" w:rsidRPr="005A5CBE" w:rsidSect="00034616">
      <w:footerReference w:type="default" r:id="rId9"/>
      <w:pgSz w:w="12240" w:h="15840"/>
      <w:pgMar w:top="907" w:right="964" w:bottom="850" w:left="1134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4875" w14:textId="77777777" w:rsidR="00E16D70" w:rsidRDefault="00E16D70">
      <w:pPr>
        <w:spacing w:after="0" w:line="240" w:lineRule="auto"/>
      </w:pPr>
      <w:r>
        <w:separator/>
      </w:r>
    </w:p>
  </w:endnote>
  <w:endnote w:type="continuationSeparator" w:id="0">
    <w:p w14:paraId="02EA2E1B" w14:textId="77777777" w:rsidR="00E16D70" w:rsidRDefault="00E16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5565" w14:textId="77777777" w:rsidR="004805DF" w:rsidRDefault="00E16D70">
    <w:pPr>
      <w:pStyle w:val="a7"/>
      <w:jc w:val="center"/>
    </w:pPr>
    <w:r>
      <w:fldChar w:fldCharType="begin"/>
    </w:r>
    <w:r>
      <w:instrText xml:space="preserve"> PAGE </w:instrText>
    </w:r>
    <w:r w:rsidR="005A5CBE">
      <w:fldChar w:fldCharType="separate"/>
    </w:r>
    <w:r w:rsidR="005A5CB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919F" w14:textId="77777777" w:rsidR="00E16D70" w:rsidRDefault="00E16D70">
      <w:pPr>
        <w:spacing w:after="0" w:line="240" w:lineRule="auto"/>
      </w:pPr>
      <w:r>
        <w:separator/>
      </w:r>
    </w:p>
  </w:footnote>
  <w:footnote w:type="continuationSeparator" w:id="0">
    <w:p w14:paraId="1BF4713A" w14:textId="77777777" w:rsidR="00E16D70" w:rsidRDefault="00E16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05DF"/>
    <w:rsid w:val="005A5CBE"/>
    <w:rsid w:val="00AA1D8D"/>
    <w:rsid w:val="00B47730"/>
    <w:rsid w:val="00CB0664"/>
    <w:rsid w:val="00E16D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CC59A"/>
  <w14:defaultImageDpi w14:val="300"/>
  <w15:docId w15:val="{C5BFFBBB-EB3C-4DCF-B2F0-AE77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line="259" w:lineRule="auto"/>
    </w:pPr>
    <w:rPr>
      <w:rFonts w:ascii="Times New Roman" w:hAnsi="Times New Roman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Краткое нетехническое резюме для общественных слушаний — Brass of Qazaqstan PVL</dc:title>
  <dc:subject>Экологические проекты на 2026–2035 годы</dc:subject>
  <dc:creator>ТОО «ЭкоПраво»</dc:creator>
  <cp:keywords/>
  <dc:description>generated by python-docx</dc:description>
  <cp:lastModifiedBy>epravo.office@mail.ru</cp:lastModifiedBy>
  <cp:revision>3</cp:revision>
  <dcterms:created xsi:type="dcterms:W3CDTF">2013-12-23T23:15:00Z</dcterms:created>
  <dcterms:modified xsi:type="dcterms:W3CDTF">2026-07-20T10:03:00Z</dcterms:modified>
  <cp:category/>
</cp:coreProperties>
</file>