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8A087" w14:textId="77777777" w:rsidR="00107638" w:rsidRDefault="00107638"/>
    <w:p w14:paraId="0F9C6F4F" w14:textId="43B1E042" w:rsidR="00FF76EF" w:rsidRPr="00FF76EF" w:rsidRDefault="00FF76EF" w:rsidP="00FF7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kern w:val="28"/>
          <w:lang w:eastAsia="ru-RU"/>
          <w14:ligatures w14:val="none"/>
        </w:rPr>
      </w:pPr>
      <w:r w:rsidRPr="00FF76EF">
        <w:rPr>
          <w:rFonts w:ascii="Times New Roman" w:eastAsia="Times New Roman" w:hAnsi="Times New Roman" w:cs="Times New Roman"/>
          <w:b/>
          <w:spacing w:val="-10"/>
          <w:kern w:val="28"/>
          <w:lang w:eastAsia="ru-RU"/>
          <w14:ligatures w14:val="none"/>
        </w:rPr>
        <w:t>КРАТКОЕ НЕТЕХНИЧЕСКОЕ РЕЗЮМЕ</w:t>
      </w:r>
    </w:p>
    <w:p w14:paraId="7F66ED48" w14:textId="77777777" w:rsidR="00FF76EF" w:rsidRPr="00FF76EF" w:rsidRDefault="00FF76EF" w:rsidP="00FF76EF">
      <w:pPr>
        <w:keepNext/>
        <w:keepLines/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b/>
          <w:spacing w:val="-10"/>
          <w:kern w:val="28"/>
          <w:lang w:eastAsia="ru-RU"/>
          <w14:ligatures w14:val="none"/>
        </w:rPr>
      </w:pPr>
    </w:p>
    <w:tbl>
      <w:tblPr>
        <w:tblW w:w="1529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"/>
        <w:gridCol w:w="4394"/>
        <w:gridCol w:w="9498"/>
      </w:tblGrid>
      <w:tr w:rsidR="00FF76EF" w:rsidRPr="00FF76EF" w14:paraId="6CC844C0" w14:textId="77777777" w:rsidTr="00AE13FD">
        <w:tc>
          <w:tcPr>
            <w:tcW w:w="1399" w:type="dxa"/>
          </w:tcPr>
          <w:p w14:paraId="2AA9DD37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Пункт</w:t>
            </w:r>
          </w:p>
          <w:p w14:paraId="51985CC6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gram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ЭК</w:t>
            </w:r>
            <w:proofErr w:type="gram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РК</w:t>
            </w:r>
          </w:p>
        </w:tc>
        <w:tc>
          <w:tcPr>
            <w:tcW w:w="4394" w:type="dxa"/>
          </w:tcPr>
          <w:p w14:paraId="5D2BF0F1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Требования Инструкции по организации по организации и проведению экологической оценки</w:t>
            </w:r>
          </w:p>
        </w:tc>
        <w:tc>
          <w:tcPr>
            <w:tcW w:w="9498" w:type="dxa"/>
          </w:tcPr>
          <w:p w14:paraId="79C745A8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Информация, требуемая Инструкцией</w:t>
            </w:r>
          </w:p>
        </w:tc>
      </w:tr>
      <w:tr w:rsidR="00FF76EF" w:rsidRPr="00FF76EF" w14:paraId="7DA84810" w14:textId="77777777" w:rsidTr="00AE13FD">
        <w:tc>
          <w:tcPr>
            <w:tcW w:w="1399" w:type="dxa"/>
          </w:tcPr>
          <w:p w14:paraId="5A026A5E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3892" w:type="dxa"/>
            <w:gridSpan w:val="2"/>
          </w:tcPr>
          <w:p w14:paraId="29B7724A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20.Краткое нетехническое резюме включает</w:t>
            </w:r>
          </w:p>
        </w:tc>
      </w:tr>
      <w:tr w:rsidR="00FF76EF" w:rsidRPr="00FF76EF" w14:paraId="180EFB0D" w14:textId="77777777" w:rsidTr="00AE13FD">
        <w:tc>
          <w:tcPr>
            <w:tcW w:w="1399" w:type="dxa"/>
          </w:tcPr>
          <w:p w14:paraId="3BE17D15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пп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1) п.4 ст.72</w:t>
            </w:r>
          </w:p>
        </w:tc>
        <w:tc>
          <w:tcPr>
            <w:tcW w:w="4394" w:type="dxa"/>
          </w:tcPr>
          <w:p w14:paraId="54885E6D" w14:textId="77777777" w:rsidR="00FF76EF" w:rsidRPr="00FF76EF" w:rsidRDefault="00FF76EF" w:rsidP="00FF76E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5" w:line="270" w:lineRule="auto"/>
              <w:ind w:left="317" w:hanging="317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Описание предполагаемого места осуществления намечаемой деятельности, план с изображением его границ</w:t>
            </w:r>
          </w:p>
        </w:tc>
        <w:tc>
          <w:tcPr>
            <w:tcW w:w="9498" w:type="dxa"/>
          </w:tcPr>
          <w:p w14:paraId="0E9B6699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x-none"/>
                <w14:ligatures w14:val="none"/>
              </w:rPr>
              <w:t xml:space="preserve">Адрес расположения проектируемого объекта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  <w14:ligatures w14:val="none"/>
              </w:rPr>
              <w:t xml:space="preserve">«Строительство завода по производству кормов для домашних животных ТОО «Mars </w:t>
            </w: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  <w14:ligatures w14:val="none"/>
              </w:rPr>
              <w:t>Petcare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  <w14:ligatures w14:val="none"/>
              </w:rPr>
              <w:t xml:space="preserve"> Kazakhstan»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x-none"/>
                <w14:ligatures w14:val="none"/>
              </w:rPr>
              <w:t xml:space="preserve">: Алматинская обл., г. Алатау, </w:t>
            </w: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x-none"/>
                <w14:ligatures w14:val="none"/>
              </w:rPr>
              <w:t>мкр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x-none"/>
                <w14:ligatures w14:val="none"/>
              </w:rPr>
              <w:t xml:space="preserve">. </w:t>
            </w: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x-none"/>
                <w14:ligatures w14:val="none"/>
              </w:rPr>
              <w:t>Жетіген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x-none"/>
                <w14:ligatures w14:val="none"/>
              </w:rPr>
              <w:t>, тр. Автотрасса Алматы-Усть-Каменогорск 40 км. уч. 38.</w:t>
            </w:r>
          </w:p>
          <w:p w14:paraId="7ABBBDBE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Схема расположения участка намечаемой деятельности приведена на рис. 1.</w:t>
            </w:r>
          </w:p>
          <w:p w14:paraId="0F6B0AC7" w14:textId="5C39DFEA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ru-RU"/>
                <w14:ligatures w14:val="none"/>
              </w:rPr>
              <w:drawing>
                <wp:inline distT="0" distB="0" distL="0" distR="0" wp14:anchorId="6388BBE0" wp14:editId="5C9506FC">
                  <wp:extent cx="4562475" cy="3600450"/>
                  <wp:effectExtent l="0" t="0" r="9525" b="0"/>
                  <wp:docPr id="175345106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36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892560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Рис.1 Схема расположения участка намечаемой деятельности</w:t>
            </w:r>
          </w:p>
          <w:p w14:paraId="606B8660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FF76EF" w:rsidRPr="00FF76EF" w14:paraId="6381FDF4" w14:textId="77777777" w:rsidTr="00AE13FD">
        <w:tc>
          <w:tcPr>
            <w:tcW w:w="1399" w:type="dxa"/>
          </w:tcPr>
          <w:p w14:paraId="11C1E3F6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пп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1) п. 4 ст. 72</w:t>
            </w:r>
          </w:p>
        </w:tc>
        <w:tc>
          <w:tcPr>
            <w:tcW w:w="4394" w:type="dxa"/>
          </w:tcPr>
          <w:p w14:paraId="56531DB9" w14:textId="77777777" w:rsidR="00FF76EF" w:rsidRPr="002308FB" w:rsidRDefault="00FF76EF" w:rsidP="00FF76E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5" w:line="270" w:lineRule="auto"/>
              <w:ind w:left="317" w:hanging="317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описание затрагиваемой территории с указанием численности ее населения, участков, на которых могут быть </w:t>
            </w:r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обнаружены выбросы, сбросы и иные негативные воздействия намечаемой деятельности на окружающую среду, с учетом их характеристик и способности переноса в окружающую среду; участков извлечения природных ресурсов и захоронения отходов;</w:t>
            </w:r>
          </w:p>
        </w:tc>
        <w:tc>
          <w:tcPr>
            <w:tcW w:w="9498" w:type="dxa"/>
          </w:tcPr>
          <w:p w14:paraId="4DA81560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 xml:space="preserve">Площадь территории  по </w:t>
            </w:r>
            <w:proofErr w:type="spellStart"/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ГосАкту</w:t>
            </w:r>
            <w:proofErr w:type="spellEnd"/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№ 2025-6298285 от 04.09.2025г. (кадастровый номер 03:341:174:1500)  – 31,8436 га.</w:t>
            </w:r>
            <w:r w:rsidRPr="00FF76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Целевое назначение участка для промышленности и производственное, для строительства и обслуживания инвестиционных проектов СЭЗ «</w:t>
            </w:r>
            <w:proofErr w:type="spellStart"/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Alatau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».</w:t>
            </w:r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r w:rsidRPr="00FF76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 xml:space="preserve">Участок находится в северо-западной части от посёлка </w:t>
            </w:r>
            <w:proofErr w:type="spellStart"/>
            <w:r w:rsidRPr="00FF76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Коктерек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, характеризуется ровным рельефом и хорошей транспортной доступностью, что обеспечивает удобную логистику и эксплуатацию объекта в будущем.</w:t>
            </w:r>
          </w:p>
          <w:p w14:paraId="4448F58B" w14:textId="026C88D6" w:rsidR="00FF76EF" w:rsidRPr="00FF76EF" w:rsidRDefault="00FF76EF" w:rsidP="00FF76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Территория участка строительства объекта граничит: </w:t>
            </w:r>
          </w:p>
          <w:p w14:paraId="3E009E07" w14:textId="07E5CA8A" w:rsidR="00FF76EF" w:rsidRPr="002308FB" w:rsidRDefault="00FF76EF" w:rsidP="00FF76EF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 севера – Центр космической связи KAZSAT на расстоянии 656 от границы участка;</w:t>
            </w:r>
          </w:p>
          <w:p w14:paraId="38BB45CA" w14:textId="4C2D7B73" w:rsidR="00FF76EF" w:rsidRPr="002308FB" w:rsidRDefault="00FF76EF" w:rsidP="00FF76EF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с востока – кладбище на расстоянии 1100 м от границы участка; село Байсерке на расстоянии 1179 м от границы участка; </w:t>
            </w:r>
          </w:p>
          <w:p w14:paraId="037128A8" w14:textId="1597C8DB" w:rsidR="00FF76EF" w:rsidRPr="002308FB" w:rsidRDefault="00FF76EF" w:rsidP="00FF76EF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 юго-востока – зона ближайшей существующей жилой застройки находится на расстоянии 142 м (</w:t>
            </w:r>
            <w:proofErr w:type="spellStart"/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п.Коктерек</w:t>
            </w:r>
            <w:proofErr w:type="spellEnd"/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). Граница поселка </w:t>
            </w:r>
            <w:proofErr w:type="spellStart"/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Коктерек</w:t>
            </w:r>
            <w:proofErr w:type="spellEnd"/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на расстоянии 92 м от границы участка;</w:t>
            </w:r>
          </w:p>
          <w:p w14:paraId="27317971" w14:textId="7B01404A" w:rsidR="00FF76EF" w:rsidRPr="002308FB" w:rsidRDefault="00FF76EF" w:rsidP="00FF76EF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с юга – ограждение нового участка на расстоянии 88 м, фельдшерский акушерский пункт на расстоянии 116 м, дачные участки на расстоянии 170 м с навесом, далее </w:t>
            </w:r>
            <w:proofErr w:type="spellStart"/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ул.Коктем</w:t>
            </w:r>
            <w:proofErr w:type="spellEnd"/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на расстоянии 490 м; </w:t>
            </w:r>
          </w:p>
          <w:p w14:paraId="300CB7AC" w14:textId="7A0C42B4" w:rsidR="00FF76EF" w:rsidRPr="002308FB" w:rsidRDefault="00FF76EF" w:rsidP="00FF76EF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с запада – магистраль Алматы- </w:t>
            </w:r>
            <w:proofErr w:type="spellStart"/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Конаев</w:t>
            </w:r>
            <w:proofErr w:type="spellEnd"/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на расстоянии 337 м от границы участка, далее ПКСО «Дачник» на расстоянии 1960 м;</w:t>
            </w:r>
          </w:p>
          <w:p w14:paraId="72EF103B" w14:textId="4367DBEA" w:rsidR="00FF76EF" w:rsidRPr="002308FB" w:rsidRDefault="00FF76EF" w:rsidP="00FF76EF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 севера – запада – АЗС «Газпромнефть» на расстоянии 844 м от границы участка; складское сооружение на расстоянии 600 м;</w:t>
            </w:r>
          </w:p>
          <w:p w14:paraId="2350F77A" w14:textId="77777777" w:rsidR="002308FB" w:rsidRPr="002308FB" w:rsidRDefault="002308FB" w:rsidP="00230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Ближайшие водные объекты: река Малая Алматинка  - на расстоянии 1300 м, река </w:t>
            </w:r>
            <w:proofErr w:type="spellStart"/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Теренкара</w:t>
            </w:r>
            <w:proofErr w:type="spellEnd"/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- на расстоянии 1146 м.      </w:t>
            </w:r>
          </w:p>
          <w:p w14:paraId="5BF5105F" w14:textId="20A745CD" w:rsidR="00FF76EF" w:rsidRPr="002308FB" w:rsidRDefault="00FF76EF" w:rsidP="00230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Зона ближайшей существующей жилой застройки находится на расстоянии 142 м (</w:t>
            </w:r>
            <w:proofErr w:type="spellStart"/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п.Коктерек</w:t>
            </w:r>
            <w:proofErr w:type="spellEnd"/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) </w:t>
            </w:r>
            <w:r w:rsid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</w:t>
            </w:r>
            <w:r w:rsidRPr="002308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юго-восточном направлении.</w:t>
            </w:r>
          </w:p>
        </w:tc>
      </w:tr>
      <w:tr w:rsidR="00FF76EF" w:rsidRPr="00FF76EF" w14:paraId="31389569" w14:textId="77777777" w:rsidTr="00AE13FD">
        <w:tc>
          <w:tcPr>
            <w:tcW w:w="1399" w:type="dxa"/>
          </w:tcPr>
          <w:p w14:paraId="0CF853A2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пп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1) п. 4 ст. 72</w:t>
            </w:r>
          </w:p>
        </w:tc>
        <w:tc>
          <w:tcPr>
            <w:tcW w:w="4394" w:type="dxa"/>
          </w:tcPr>
          <w:p w14:paraId="2DAD2719" w14:textId="77777777" w:rsidR="00FF76EF" w:rsidRPr="00FF76EF" w:rsidRDefault="00FF76EF" w:rsidP="00FF76E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5" w:line="270" w:lineRule="auto"/>
              <w:ind w:left="317" w:hanging="317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наименование инициатора намечаемой деятельности, его контактные данные;</w:t>
            </w:r>
          </w:p>
        </w:tc>
        <w:tc>
          <w:tcPr>
            <w:tcW w:w="9498" w:type="dxa"/>
          </w:tcPr>
          <w:p w14:paraId="66C1BB3A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Инициатор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ab/>
              <w:t xml:space="preserve"> намечаемой деятельности: ТОО «MARS </w:t>
            </w: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Petcare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Kazakhstan». Адрес: Казахстан, город Алматы, Медеуский район, улица Кунаева, дом 77, почтовый индекс 050010. БИН 250440030729.</w:t>
            </w:r>
          </w:p>
        </w:tc>
      </w:tr>
      <w:tr w:rsidR="00FF76EF" w:rsidRPr="00FF76EF" w14:paraId="12B15558" w14:textId="77777777" w:rsidTr="00AE13FD">
        <w:tc>
          <w:tcPr>
            <w:tcW w:w="1399" w:type="dxa"/>
          </w:tcPr>
          <w:p w14:paraId="62C8A1DA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45F617B0" w14:textId="77777777" w:rsidR="00FF76EF" w:rsidRPr="00FF76EF" w:rsidRDefault="00FF76EF" w:rsidP="00FF76E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5" w:line="270" w:lineRule="auto"/>
              <w:ind w:left="317" w:hanging="317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краткое описание намечаемой деятельности:</w:t>
            </w:r>
          </w:p>
        </w:tc>
        <w:tc>
          <w:tcPr>
            <w:tcW w:w="9498" w:type="dxa"/>
          </w:tcPr>
          <w:p w14:paraId="27E28BD0" w14:textId="77777777" w:rsidR="00DD5A8E" w:rsidRDefault="00FF76EF" w:rsidP="00DD5A8E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Настоящим проектом предусматривается строительство Завода по производству кормов для животных (кошек и собак). Производительность объекта «Производство MARS </w:t>
            </w: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Petcare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, Алатау, Алматинская область, Казахстан»: производство влажных кормов для кошек и собак 40 000 тонн/год (110,0 т/сутки), производство сухих кормов для кошек и собак 50 000 тонн/год (137,0 т/сутки).</w:t>
            </w:r>
            <w:r w:rsidR="00DD5A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</w:p>
          <w:p w14:paraId="0CF79F92" w14:textId="469D77DE" w:rsidR="00FF76EF" w:rsidRPr="00FF76EF" w:rsidRDefault="00DD5A8E" w:rsidP="00DD5A8E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DD5A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Срок строительства объекта – 30 месяцев. Ориентировочные сроки начала строительства –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3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квартал </w:t>
            </w:r>
            <w:r w:rsidRPr="00DD5A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2026</w:t>
            </w:r>
            <w:proofErr w:type="gramEnd"/>
            <w:r w:rsidRPr="00DD5A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г, окончание строительства –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1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квартал </w:t>
            </w:r>
            <w:r w:rsidRPr="00DD5A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2029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r w:rsidRPr="00DD5A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г. При проведении строительных работ предполагается задействовать 620 человек, в том числе рабочих 528 человек. Организация строительства: подрядными строительными организациями, имеющими лицензии на выполняемые работы.</w:t>
            </w:r>
          </w:p>
        </w:tc>
      </w:tr>
      <w:tr w:rsidR="00FF76EF" w:rsidRPr="00FF76EF" w14:paraId="517053E7" w14:textId="77777777" w:rsidTr="00AE13FD">
        <w:tc>
          <w:tcPr>
            <w:tcW w:w="1399" w:type="dxa"/>
          </w:tcPr>
          <w:p w14:paraId="3823D860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5230B8AF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ind w:left="317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объект, необходимый для ее осуществления, его мощность, габариты (площадь занимаемых земель, высота),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производительность, физические и технические характеристики, влияющие на воздействия на окружающую среду;</w:t>
            </w:r>
          </w:p>
        </w:tc>
        <w:tc>
          <w:tcPr>
            <w:tcW w:w="9498" w:type="dxa"/>
          </w:tcPr>
          <w:p w14:paraId="3229FB4D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11" w:line="268" w:lineRule="auto"/>
              <w:ind w:right="5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 xml:space="preserve">Предусматривается проведение работ на отведенном земельном участке, площадью 31,8436 га. </w:t>
            </w:r>
          </w:p>
          <w:p w14:paraId="0F9A77C4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11" w:line="268" w:lineRule="auto"/>
              <w:ind w:right="5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  <w:t xml:space="preserve">Корпус по производству сухих </w:t>
            </w:r>
            <w:proofErr w:type="gramStart"/>
            <w:r w:rsidRPr="00FF76EF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  <w:t>кормов: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  <w:proofErr w:type="gramEnd"/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137,0 т/</w:t>
            </w:r>
            <w:proofErr w:type="spellStart"/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сут</w:t>
            </w:r>
            <w:proofErr w:type="spellEnd"/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, 50 000 т/год.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</w:p>
          <w:p w14:paraId="33F155EC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11" w:line="268" w:lineRule="auto"/>
              <w:ind w:right="54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Корпус по производству влажных кормов-110,0 т/</w:t>
            </w:r>
            <w:proofErr w:type="spellStart"/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сут</w:t>
            </w:r>
            <w:proofErr w:type="spellEnd"/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, 40 000 т/год.</w:t>
            </w:r>
          </w:p>
          <w:p w14:paraId="4C7A0FA8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11" w:line="268" w:lineRule="auto"/>
              <w:ind w:right="54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Основными проектируемыми объектами являются:</w:t>
            </w:r>
          </w:p>
          <w:p w14:paraId="01B78078" w14:textId="77777777" w:rsidR="00FF76EF" w:rsidRPr="00FF76EF" w:rsidRDefault="00FF76EF" w:rsidP="00FF76EF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Корпус по производству влажных кормов </w:t>
            </w:r>
          </w:p>
          <w:p w14:paraId="77C8264D" w14:textId="77777777" w:rsidR="00FF76EF" w:rsidRPr="00FF76EF" w:rsidRDefault="00FF76EF" w:rsidP="00FF76EF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Энергоблок</w:t>
            </w:r>
          </w:p>
          <w:p w14:paraId="54724658" w14:textId="77777777" w:rsidR="00FF76EF" w:rsidRPr="00FF76EF" w:rsidRDefault="00FF76EF" w:rsidP="00FF76EF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Корпус по производству сухих кормов</w:t>
            </w:r>
          </w:p>
          <w:p w14:paraId="3F017DCD" w14:textId="77777777" w:rsidR="00FF76EF" w:rsidRPr="00FF76EF" w:rsidRDefault="00FF76EF" w:rsidP="00FF76EF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Склад готовой продукции</w:t>
            </w:r>
          </w:p>
          <w:p w14:paraId="37440787" w14:textId="77777777" w:rsidR="00FF76EF" w:rsidRPr="00FF76EF" w:rsidRDefault="00FF76EF" w:rsidP="00FF76EF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Административно-бытовой корпус</w:t>
            </w:r>
          </w:p>
          <w:p w14:paraId="47E188A7" w14:textId="77777777" w:rsidR="00FF76EF" w:rsidRPr="00FF76EF" w:rsidRDefault="00FF76EF" w:rsidP="00FF76EF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Аналитическая и микробиологическая лаборатория:</w:t>
            </w:r>
          </w:p>
          <w:p w14:paraId="32445ADE" w14:textId="77777777" w:rsidR="00FF76EF" w:rsidRPr="00FF76EF" w:rsidRDefault="00FF76EF" w:rsidP="00FF76EF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FF76EF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Биофильтрационная</w:t>
            </w:r>
            <w:proofErr w:type="spellEnd"/>
            <w:r w:rsidRPr="00FF76EF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установка</w:t>
            </w:r>
          </w:p>
          <w:p w14:paraId="035EB538" w14:textId="77777777" w:rsidR="00FF76EF" w:rsidRPr="00FF76EF" w:rsidRDefault="00FF76EF" w:rsidP="00FF76EF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kk-KZ" w:eastAsia="ru-RU"/>
                <w14:ligatures w14:val="none"/>
              </w:rPr>
              <w:t>Канализ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а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kk-KZ" w:eastAsia="ru-RU"/>
                <w14:ligatures w14:val="none"/>
              </w:rPr>
              <w:t>ционные очистные сооружения</w:t>
            </w:r>
          </w:p>
          <w:p w14:paraId="635ACC28" w14:textId="77777777" w:rsidR="00FF76EF" w:rsidRPr="00FF76EF" w:rsidRDefault="00FF76EF" w:rsidP="00FF76EF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Станция по очистке дождевых стоков</w:t>
            </w:r>
          </w:p>
          <w:p w14:paraId="2D56F7D2" w14:textId="77777777" w:rsidR="00FF76EF" w:rsidRPr="00FF76EF" w:rsidRDefault="00FF76EF" w:rsidP="00FF76EF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др. вспомогательные здания и сооружения</w:t>
            </w:r>
          </w:p>
          <w:p w14:paraId="7C6DEC3B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200C9570" w14:textId="77777777" w:rsidR="00FF76EF" w:rsidRPr="00FF76EF" w:rsidRDefault="00FF76EF" w:rsidP="00FF76EF">
            <w:pPr>
              <w:widowControl w:val="0"/>
              <w:tabs>
                <w:tab w:val="left" w:pos="829"/>
              </w:tabs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Gulim" w:hAnsi="Times New Roman" w:cs="Times New Roman"/>
                <w:b/>
                <w:bCs/>
                <w:kern w:val="0"/>
                <w:sz w:val="22"/>
                <w:szCs w:val="22"/>
                <w:lang w:val="kk-KZ"/>
                <w14:ligatures w14:val="none"/>
              </w:rPr>
              <w:t>Блок 1. Корпус по производству влажных кормов.</w:t>
            </w:r>
            <w:r w:rsidRPr="00FF76EF">
              <w:rPr>
                <w:rFonts w:ascii="Times New Roman" w:eastAsia="Gulim" w:hAnsi="Times New Roman" w:cs="Times New Roman"/>
                <w:bCs/>
                <w:kern w:val="0"/>
                <w:sz w:val="22"/>
                <w:szCs w:val="22"/>
                <w:lang w:val="kk-KZ"/>
                <w14:ligatures w14:val="none"/>
              </w:rPr>
              <w:t xml:space="preserve"> 3</w:t>
            </w:r>
            <w:r w:rsidRPr="00FF76EF">
              <w:rPr>
                <w:rFonts w:ascii="Times New Roman" w:eastAsia="Gulim" w:hAnsi="Times New Roman" w:cs="Times New Roman"/>
                <w:bCs/>
                <w:kern w:val="0"/>
                <w:sz w:val="22"/>
                <w:szCs w:val="22"/>
                <w14:ligatures w14:val="none"/>
              </w:rPr>
              <w:t>-уровневое здание без подвала, без чердачного пространства. Кровля — неэксплуатируемая, с внутренним водостоком. Габариты в плане 100,0 м х 185,0 м, отметка верха парапета + 17,500.</w:t>
            </w:r>
          </w:p>
          <w:p w14:paraId="1DCDA2DC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Gulim" w:hAnsi="Times New Roman" w:cs="Times New Roman"/>
                <w:bCs/>
                <w:kern w:val="0"/>
                <w:sz w:val="22"/>
                <w:szCs w:val="22"/>
                <w:lang w:val="kk-KZ"/>
                <w14:ligatures w14:val="none"/>
              </w:rPr>
            </w:pPr>
            <w:r w:rsidRPr="00FF76EF">
              <w:rPr>
                <w:rFonts w:ascii="Times New Roman" w:eastAsia="Gulim" w:hAnsi="Times New Roman" w:cs="Times New Roman"/>
                <w:b/>
                <w:bCs/>
                <w:kern w:val="0"/>
                <w:sz w:val="22"/>
                <w:szCs w:val="22"/>
                <w:lang w:val="kk-KZ"/>
                <w14:ligatures w14:val="none"/>
              </w:rPr>
              <w:t>Блок 2. Энергоблок.</w:t>
            </w:r>
            <w:r w:rsidRPr="00FF76EF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Gulim" w:hAnsi="Times New Roman" w:cs="Times New Roman"/>
                <w:bCs/>
                <w:kern w:val="0"/>
                <w:sz w:val="22"/>
                <w:szCs w:val="22"/>
                <w14:ligatures w14:val="none"/>
              </w:rPr>
              <w:t>2</w:t>
            </w:r>
            <w:r w:rsidRPr="00FF76EF">
              <w:rPr>
                <w:rFonts w:ascii="Times New Roman" w:eastAsia="Gulim" w:hAnsi="Times New Roman" w:cs="Times New Roman"/>
                <w:bCs/>
                <w:kern w:val="0"/>
                <w:sz w:val="22"/>
                <w:szCs w:val="22"/>
                <w:lang w:val="kk-KZ"/>
                <w14:ligatures w14:val="none"/>
              </w:rPr>
              <w:t>-уровневое здание энергоблока без подвала, без чердачного пространства. Кровля — неэксплуатируемая, с внутренним водостоком. Габариты в плане 18,0 м х 112,0 м, отметка верха парапета + 14,500.</w:t>
            </w:r>
          </w:p>
          <w:p w14:paraId="74ED9C19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Gulim" w:hAnsi="Times New Roman" w:cs="Times New Roman"/>
                <w:bCs/>
                <w:kern w:val="0"/>
                <w:sz w:val="22"/>
                <w:szCs w:val="22"/>
                <w:lang w:val="kk-KZ"/>
                <w14:ligatures w14:val="none"/>
              </w:rPr>
            </w:pPr>
            <w:r w:rsidRPr="00FF76EF">
              <w:rPr>
                <w:rFonts w:ascii="Times New Roman" w:eastAsia="Gulim" w:hAnsi="Times New Roman" w:cs="Times New Roman"/>
                <w:b/>
                <w:bCs/>
                <w:kern w:val="0"/>
                <w:sz w:val="22"/>
                <w:szCs w:val="22"/>
                <w:lang w:val="kk-KZ"/>
                <w14:ligatures w14:val="none"/>
              </w:rPr>
              <w:t>Блок 3. Корпус по производству сухих кормов.</w:t>
            </w:r>
            <w:r w:rsidRPr="00FF76EF">
              <w:rPr>
                <w:rFonts w:ascii="Times New Roman" w:eastAsia="Calibri" w:hAnsi="Times New Roman" w:cs="Times New Roman"/>
                <w:b/>
                <w:bCs/>
                <w:i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Gulim" w:hAnsi="Times New Roman" w:cs="Times New Roman"/>
                <w:bCs/>
                <w:kern w:val="0"/>
                <w:sz w:val="22"/>
                <w:szCs w:val="22"/>
                <w:lang w:val="kk-KZ"/>
                <w14:ligatures w14:val="none"/>
              </w:rPr>
              <w:t>8-уровневый корпус по производству сухих кормов с подвала с габаритами в плане в осях 18,0х27,0, без чердачного пространства. Кровля — неэксплуатируемая, с внутренним водостоком. Габариты в плане 75,0 м х 162,0 м, отметка верха парапета + 42,000.</w:t>
            </w:r>
          </w:p>
          <w:p w14:paraId="5A8A648A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iCs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b/>
                <w:bCs/>
                <w:iCs/>
                <w:kern w:val="0"/>
                <w:sz w:val="22"/>
                <w:szCs w:val="22"/>
                <w14:ligatures w14:val="none"/>
              </w:rPr>
              <w:t xml:space="preserve">Блок 4. Склад готовой продукции. </w:t>
            </w:r>
            <w:r w:rsidRPr="00FF76EF">
              <w:rPr>
                <w:rFonts w:ascii="Times New Roman" w:eastAsia="Calibri" w:hAnsi="Times New Roman" w:cs="Times New Roman"/>
                <w:bCs/>
                <w:iCs/>
                <w:kern w:val="0"/>
                <w:sz w:val="22"/>
                <w:szCs w:val="22"/>
                <w14:ligatures w14:val="none"/>
              </w:rPr>
              <w:t>1-уровневый склад готовой продукции без подвала, без чердачного пространства. Кровля — неэксплуатируемая, с внутренним водостоком. Габариты в плане 50,1 м х 123,0 м, отметка верха парапета + 14,440.</w:t>
            </w:r>
          </w:p>
          <w:p w14:paraId="0A3FECE9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b/>
                <w:bCs/>
                <w:iCs/>
                <w:kern w:val="0"/>
                <w:sz w:val="22"/>
                <w:szCs w:val="22"/>
                <w14:ligatures w14:val="none"/>
              </w:rPr>
              <w:t>Блок 5, 5.1</w:t>
            </w:r>
            <w:r w:rsidRPr="00FF76EF">
              <w:rPr>
                <w:rFonts w:ascii="Times New Roman" w:eastAsia="Calibri" w:hAnsi="Times New Roman" w:cs="Times New Roman"/>
                <w:bCs/>
                <w:iCs/>
                <w:kern w:val="0"/>
                <w:sz w:val="22"/>
                <w:szCs w:val="22"/>
                <w14:ligatures w14:val="none"/>
              </w:rPr>
              <w:t xml:space="preserve"> Административно-бытовой корпус, Галерея. 1-уровневый административно-бытовой корпус без подвала, без чердачного пространства. Кровля неэксплуатируемая с внутренним водостоком. Габариты в плане 63,2 м х 81,5 м, отметка верха парапета + 7,000. Главный фасад ориентирован на юг. Основной вход в здание предусмотрен с восточной стороны. Высота помещений 5 м.</w:t>
            </w:r>
          </w:p>
        </w:tc>
      </w:tr>
      <w:tr w:rsidR="00FF76EF" w:rsidRPr="00FF76EF" w14:paraId="7A655ADA" w14:textId="77777777" w:rsidTr="00AE13FD">
        <w:tc>
          <w:tcPr>
            <w:tcW w:w="1399" w:type="dxa"/>
          </w:tcPr>
          <w:p w14:paraId="5D4F93AB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пп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1) п. 4 ст. 72</w:t>
            </w:r>
          </w:p>
        </w:tc>
        <w:tc>
          <w:tcPr>
            <w:tcW w:w="4394" w:type="dxa"/>
          </w:tcPr>
          <w:p w14:paraId="50E0DD4A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сведения о производственном процессе, в том числе об ожидаемой производительности предприятия, его потребности в энергии, природных ресурсах, сырье и материалах;</w:t>
            </w:r>
          </w:p>
        </w:tc>
        <w:tc>
          <w:tcPr>
            <w:tcW w:w="9498" w:type="dxa"/>
          </w:tcPr>
          <w:p w14:paraId="5D963560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Основными ингредиентами являются порошки на растительной основе: рис, пшеничная мука, кукуруза; соль; витаминные добавки; мясо. Содержание животного белка (как сырья) во влажном корме составляет 84%, содержание растительного сырья -16%. В сухом корме содержание мяса и жидкостей незначительно (менее 35 % от общего содержания готового продукта).</w:t>
            </w:r>
          </w:p>
          <w:p w14:paraId="668A8761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Производственный процесс максимально автоматизирован и включает все этапы обработки и смешения, от поставки мясного сырья, пшеничной муки, зерна, растительного масла, животного жира, минералов и витаминов в виде порошковых и жидких компонентов, производство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упаковочной тары (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NISHIBE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), дозирование по весу, и финальную стерилизацию в автоклавах готовой продукции для формирования необходимых длительных сроков хранения.</w:t>
            </w:r>
          </w:p>
          <w:p w14:paraId="6B787678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  <w:t>Корпус по производству сухих кормов:</w:t>
            </w:r>
          </w:p>
          <w:p w14:paraId="0765B875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производительность сухих кормов для кошек и собак 137,0 тонн/</w:t>
            </w: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сут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, 50 000 тонн/год. В корпусе изготовления сухих кормов перерабатывается ряд жидких и сухих ингредиентов (цельное зерно пшеницы, </w:t>
            </w:r>
            <w:proofErr w:type="gram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мясо-костная</w:t>
            </w:r>
            <w:proofErr w:type="gram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мука, пшеничная мука, протеиновая мука средней зольности, кукурузный глютен/сухой кукурузный глютен, дробленый рис, перьевая мука, пшеничный глютен, цельное зерно </w:t>
            </w:r>
            <w:proofErr w:type="gram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ячменя ,</w:t>
            </w:r>
            <w:proofErr w:type="gram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сушеный соевый концентрат или соевая мука, цельное зерно кукурузы, растительное масло, животный жир, рыбий жир, хлорид холина и красители).</w:t>
            </w:r>
          </w:p>
          <w:p w14:paraId="6462127B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Технологический процесс производства сухих кормов включает следующие </w:t>
            </w:r>
            <w:proofErr w:type="gram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процессы:  погрузка</w:t>
            </w:r>
            <w:proofErr w:type="gram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-разгрузка сырья, измельчение, экструзия, сушка, нанесение покрытия, охлаждение, промежуточное хранение, упаковка.</w:t>
            </w:r>
          </w:p>
          <w:p w14:paraId="216BD872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15B4623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8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b/>
                <w:kern w:val="28"/>
                <w:sz w:val="22"/>
                <w:szCs w:val="22"/>
                <w:lang w:eastAsia="ru-RU"/>
                <w14:ligatures w14:val="none"/>
              </w:rPr>
              <w:t>Корпус по производству влажных кормов:</w:t>
            </w:r>
          </w:p>
          <w:p w14:paraId="659E7372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Производство влажных кормов для кошек и собак - 110,0 тонн/</w:t>
            </w:r>
            <w:proofErr w:type="spellStart"/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сут</w:t>
            </w:r>
            <w:proofErr w:type="spellEnd"/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, 40 000 тонн/год.</w:t>
            </w:r>
          </w:p>
          <w:p w14:paraId="0ABFC83D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Основные ингредиенты: замороженное мясо; </w:t>
            </w:r>
            <w:proofErr w:type="gramStart"/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порошок :</w:t>
            </w:r>
            <w:proofErr w:type="gramEnd"/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минеральная смесь, хлорид калия, витаминная смесь,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Helvetica" w:hAnsi="Times New Roman" w:cs="Times New Roman"/>
                <w:kern w:val="0"/>
                <w:sz w:val="22"/>
                <w:szCs w:val="22"/>
                <w14:ligatures w14:val="none"/>
              </w:rPr>
              <w:t xml:space="preserve">молотая соль, аскорбиновая </w:t>
            </w:r>
            <w:proofErr w:type="gramStart"/>
            <w:r w:rsidRPr="00FF76EF">
              <w:rPr>
                <w:rFonts w:ascii="Times New Roman" w:eastAsia="Helvetica" w:hAnsi="Times New Roman" w:cs="Times New Roman"/>
                <w:kern w:val="0"/>
                <w:sz w:val="22"/>
                <w:szCs w:val="22"/>
                <w14:ligatures w14:val="none"/>
              </w:rPr>
              <w:t xml:space="preserve">кислота; 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Helvetica" w:hAnsi="Times New Roman" w:cs="Times New Roman"/>
                <w:kern w:val="0"/>
                <w:sz w:val="22"/>
                <w:szCs w:val="22"/>
                <w14:ligatures w14:val="none"/>
              </w:rPr>
              <w:t>жидкость</w:t>
            </w:r>
            <w:proofErr w:type="gramEnd"/>
            <w:r w:rsidRPr="00FF76EF">
              <w:rPr>
                <w:rFonts w:ascii="Times New Roman" w:eastAsia="Helvetica" w:hAnsi="Times New Roman" w:cs="Times New Roman"/>
                <w:kern w:val="0"/>
                <w:sz w:val="22"/>
                <w:szCs w:val="22"/>
                <w14:ligatures w14:val="none"/>
              </w:rPr>
              <w:t>: хлорид холина,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Helvetica" w:hAnsi="Times New Roman" w:cs="Times New Roman"/>
                <w:kern w:val="0"/>
                <w:sz w:val="22"/>
                <w:szCs w:val="22"/>
                <w14:ligatures w14:val="none"/>
              </w:rPr>
              <w:t>жидкая карамель.</w:t>
            </w:r>
          </w:p>
          <w:p w14:paraId="7A718E3E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Зона производства влажных кормов разделена на пять основных технологических систем: система для подготовки мясных продуктов, система для приготовления, перемещения и наполнения порционного продукта, система обработка и стерилизация пауч-упаковок, система для перекачки жидкости, система для транспортировки порошков.</w:t>
            </w:r>
          </w:p>
          <w:p w14:paraId="716AE8AA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Сырьё в виде замороженного мяса доставляется грузовиком от поставщика и принимается в холодильной камере, затем хранится в морозильной камере. Общий объем замороженного мяса, подлежащего хранению, составляет 166 тонн/</w:t>
            </w: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сут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Сухие порошкообразные материалы (пшеничная мука) будут храниться в помещении для хранения порошков. Жидкие материалы будут храниться в помещении для хранения жидкостей: ортофосфорная кислота, антиоксидант, подсолнечное масло, гидроксид натрия, </w:t>
            </w: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алкалаза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, жидкая форма, хлорид холина, рыбий жир, карамель (жидкая), пеногаситель.</w:t>
            </w:r>
          </w:p>
          <w:p w14:paraId="2D6CC39C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SimSun" w:hAnsi="Times New Roman" w:cs="Helvetica"/>
                <w:bCs/>
                <w:kern w:val="0"/>
                <w:sz w:val="22"/>
                <w:szCs w:val="22"/>
                <w:lang w:bidi="en-US"/>
                <w14:ligatures w14:val="none"/>
              </w:rPr>
            </w:pPr>
            <w:r w:rsidRPr="00FF76EF">
              <w:rPr>
                <w:rFonts w:ascii="Times New Roman" w:eastAsia="SimSun" w:hAnsi="Times New Roman" w:cs="Helvetica"/>
                <w:bCs/>
                <w:kern w:val="0"/>
                <w:sz w:val="22"/>
                <w:szCs w:val="22"/>
                <w:lang w:bidi="en-US"/>
                <w14:ligatures w14:val="none"/>
              </w:rPr>
              <w:t>Сырьевые порошковые материалы, используемые в малых объёмах в процессе, доставляются в мешках по 25 кг: измельченный жом сахарной свеклы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, с</w:t>
            </w:r>
            <w:r w:rsidRPr="00FF76EF">
              <w:rPr>
                <w:rFonts w:ascii="Times New Roman" w:eastAsia="SimSun" w:hAnsi="Times New Roman" w:cs="Helvetica"/>
                <w:bCs/>
                <w:kern w:val="0"/>
                <w:sz w:val="22"/>
                <w:szCs w:val="22"/>
                <w:lang w:bidi="en-US"/>
                <w14:ligatures w14:val="none"/>
              </w:rPr>
              <w:t>ульфат кальция, глицин, минеральная смесь, хлорид калия и др.</w:t>
            </w:r>
          </w:p>
          <w:p w14:paraId="40990945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Режим работы завода - круглосуточный двухсменный, по 12 часов смена, 365 дней в году. Количество персонала на одну производственную линию 414 </w:t>
            </w:r>
            <w:proofErr w:type="gram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чел</w:t>
            </w:r>
            <w:proofErr w:type="gram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, в том числе офисные работники -60, ИТР -36, медперсонал -4, отдел качества -44, работники производства -216, менеджеры производства-4, работники столовой-16, склад сырья и материалов-21, лаборатории-29 и другие.</w:t>
            </w:r>
          </w:p>
          <w:p w14:paraId="4A056E7D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14:ligatures w14:val="none"/>
              </w:rPr>
              <w:t>Сведения о сырьевой базе</w:t>
            </w:r>
          </w:p>
          <w:p w14:paraId="4D6C83C1" w14:textId="20F66A15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Доставка сырья на производство осуществляется грузовым автотранспортом, который принадлежит организациям, поставляющим сырьё на предприятие. Приобретение сырья для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производства планируется на внутреннем рынке и из ближнего зарубежья в соответствии с рыночными ценами.</w:t>
            </w:r>
          </w:p>
          <w:p w14:paraId="570774DA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14:ligatures w14:val="none"/>
              </w:rPr>
              <w:t xml:space="preserve">Потребность в электроэнергии </w:t>
            </w:r>
          </w:p>
          <w:p w14:paraId="541AC50E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Электроснабжение на период строительства и эксплуатации централизованное. </w:t>
            </w:r>
          </w:p>
          <w:p w14:paraId="22069F93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Основной потребитель электроэнергии — это технологическое оборудование предприятия в целом. </w:t>
            </w:r>
          </w:p>
          <w:p w14:paraId="73249D0C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14:ligatures w14:val="none"/>
              </w:rPr>
              <w:t xml:space="preserve">Потребность в воде </w:t>
            </w:r>
          </w:p>
          <w:p w14:paraId="5EA9BC9C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Общий объем водопотребления на период строительства составит: 13 335,586 м</w:t>
            </w:r>
            <w:r w:rsidRPr="00DD5A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14:ligatures w14:val="none"/>
              </w:rPr>
              <w:t>3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/период;</w:t>
            </w:r>
          </w:p>
          <w:p w14:paraId="30B59233" w14:textId="32EB511F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 питьевой воды (хоз</w:t>
            </w:r>
            <w:r w:rsidR="00DD5A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.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-питьевые нужды)7683,186 м</w:t>
            </w:r>
            <w:r w:rsidRPr="00DD5A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14:ligatures w14:val="none"/>
              </w:rPr>
              <w:t>3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/период.</w:t>
            </w:r>
          </w:p>
          <w:p w14:paraId="40B68D16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 технической воды (производственные нужды) 5652,4 м</w:t>
            </w:r>
            <w:r w:rsidRPr="00DD5A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14:ligatures w14:val="none"/>
              </w:rPr>
              <w:t>3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/период.</w:t>
            </w:r>
          </w:p>
          <w:p w14:paraId="364F67AC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Для водоснабжения объекта предусмотрено устройство проектируемых скважин, противопожарного резервуара, возведение которых предусматривается в начальный период осуществления строительно-монтажных работ.</w:t>
            </w:r>
          </w:p>
          <w:p w14:paraId="1F4913CB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 окончания работ по устройству проектируемых скважин снабжение строительной площадки водой будет осуществляться путём подвозки воды специализированным транспортом (водовозами).</w:t>
            </w:r>
          </w:p>
          <w:p w14:paraId="51891236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Общий объем водопотребления на период эксплуатации составит: 554 364,26 м</w:t>
            </w:r>
            <w:r w:rsidRPr="00DD5A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14:ligatures w14:val="none"/>
              </w:rPr>
              <w:t>3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/год;</w:t>
            </w:r>
          </w:p>
          <w:p w14:paraId="128C75B1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 питьевой воды (хоз.-питьевые нужды) 15214,8 м</w:t>
            </w:r>
            <w:r w:rsidRPr="00DD5A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14:ligatures w14:val="none"/>
              </w:rPr>
              <w:t>3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/год.</w:t>
            </w:r>
          </w:p>
          <w:p w14:paraId="318BB323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 производственные нужды 404055 м</w:t>
            </w:r>
            <w:r w:rsidRPr="00DD5A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14:ligatures w14:val="none"/>
              </w:rPr>
              <w:t>3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/год.</w:t>
            </w:r>
          </w:p>
          <w:p w14:paraId="57640328" w14:textId="28507D80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 технической воды 135094,46 м</w:t>
            </w:r>
            <w:r w:rsidRPr="00DD5A8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14:ligatures w14:val="none"/>
              </w:rPr>
              <w:t>3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/год (полив)</w:t>
            </w:r>
          </w:p>
          <w:p w14:paraId="32D9ED46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ru-RU"/>
                <w14:ligatures w14:val="none"/>
              </w:rPr>
              <w:t>Водоотведение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–согласно ТУ №503 от 29.12.2025г, выданным ГУ «Отдела ЖКХ и ЖИ </w:t>
            </w: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г.Алатау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» в существующий колодец расположенный на территории КНС города-спутника "</w:t>
            </w: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Gate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City". Производственные стоки будут поступать на очистные сооружения, затем после очистки в существующий колодец расположенный на территории КНС города-спутника "</w:t>
            </w: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Gate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City".</w:t>
            </w:r>
          </w:p>
          <w:p w14:paraId="6D7064CD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ru-RU"/>
                <w14:ligatures w14:val="none"/>
              </w:rPr>
              <w:t>Потребность в теплоснабжении</w:t>
            </w:r>
          </w:p>
          <w:p w14:paraId="0BD80C87" w14:textId="77777777" w:rsidR="00FF76EF" w:rsidRPr="00FF76EF" w:rsidRDefault="00FF76EF" w:rsidP="00FF76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Источниками теплоснабжения на предприятии являются котельные, работающие на природном газе.  </w:t>
            </w:r>
          </w:p>
        </w:tc>
      </w:tr>
      <w:tr w:rsidR="00FF76EF" w:rsidRPr="00FF76EF" w14:paraId="7E190EB8" w14:textId="77777777" w:rsidTr="00AE13FD">
        <w:tc>
          <w:tcPr>
            <w:tcW w:w="1399" w:type="dxa"/>
          </w:tcPr>
          <w:p w14:paraId="1D5B45CC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пп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1) п. 4 ст. 72</w:t>
            </w:r>
          </w:p>
        </w:tc>
        <w:tc>
          <w:tcPr>
            <w:tcW w:w="4394" w:type="dxa"/>
          </w:tcPr>
          <w:p w14:paraId="51916C77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ind w:left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примерная площадь земельного участка, необходимого для осуществления намечаемой деятельности;</w:t>
            </w:r>
          </w:p>
        </w:tc>
        <w:tc>
          <w:tcPr>
            <w:tcW w:w="9498" w:type="dxa"/>
          </w:tcPr>
          <w:p w14:paraId="52FAE466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line="259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Площадь территории  по </w:t>
            </w: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ГосАкту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№ 2025-6298285 от 04.09.2025г. (кадастровый номер 03:341:174:1500)  – 31,8436 га.</w:t>
            </w:r>
          </w:p>
        </w:tc>
      </w:tr>
      <w:tr w:rsidR="00FF76EF" w:rsidRPr="00FF76EF" w14:paraId="73525F7C" w14:textId="77777777" w:rsidTr="00AE13FD">
        <w:tc>
          <w:tcPr>
            <w:tcW w:w="1399" w:type="dxa"/>
          </w:tcPr>
          <w:p w14:paraId="225697BD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пп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2) п. 4 ст. 72</w:t>
            </w:r>
          </w:p>
        </w:tc>
        <w:tc>
          <w:tcPr>
            <w:tcW w:w="4394" w:type="dxa"/>
          </w:tcPr>
          <w:p w14:paraId="6F0800E7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ind w:left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краткое описание возможных рациональных вариантов осуществления намечаемой деятельности и</w:t>
            </w:r>
          </w:p>
          <w:p w14:paraId="2117968E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ind w:left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обоснование выбранного</w:t>
            </w:r>
          </w:p>
          <w:p w14:paraId="20F78A26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ind w:left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варианта;</w:t>
            </w:r>
          </w:p>
        </w:tc>
        <w:tc>
          <w:tcPr>
            <w:tcW w:w="9498" w:type="dxa"/>
          </w:tcPr>
          <w:p w14:paraId="537B8EFF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Выбранный район места осуществления намечаемой деятельности является наиболее благоприятным вариантом с точки зрения охраны жизни и здоровья людей, а также окружающей среды, так как объект находится на значительно удалённом расстоянии от селитебной зоны и водных объектов, что снижает негативное воздействие от намечаемой деятельности на местное население и исключает влияние на водные объекты. </w:t>
            </w:r>
          </w:p>
          <w:p w14:paraId="4629B982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Также в районе месторасположения объекта отсутствуют памятники истории и культуры. </w:t>
            </w:r>
          </w:p>
          <w:p w14:paraId="49BE8725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Проектными решениями предусмотрено применение современного оборудования, при котором все необходимые правила будут соблюдены в пределах с установленными соответствующими санитарными и строительными нормами. </w:t>
            </w:r>
          </w:p>
          <w:p w14:paraId="2D5364E5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Таким образом, предусмотренный настоящим проектом вариант осуществления намечаемой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деятельности является самым оптимальным.</w:t>
            </w:r>
          </w:p>
        </w:tc>
      </w:tr>
      <w:tr w:rsidR="00FF76EF" w:rsidRPr="00FF76EF" w14:paraId="248E77C6" w14:textId="77777777" w:rsidTr="00AE13FD">
        <w:tc>
          <w:tcPr>
            <w:tcW w:w="1399" w:type="dxa"/>
          </w:tcPr>
          <w:p w14:paraId="3A25FE06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пп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3) п. 4 ст. 72</w:t>
            </w:r>
          </w:p>
        </w:tc>
        <w:tc>
          <w:tcPr>
            <w:tcW w:w="4394" w:type="dxa"/>
          </w:tcPr>
          <w:p w14:paraId="5E8F0E42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ind w:left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5) краткое описание существенных воздействий намечаемой деятельности на окружающую среду, включая воздействия на следующие природные компоненты и иные объекты:</w:t>
            </w:r>
          </w:p>
        </w:tc>
        <w:tc>
          <w:tcPr>
            <w:tcW w:w="9498" w:type="dxa"/>
          </w:tcPr>
          <w:p w14:paraId="3122F143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line="259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FF76EF" w:rsidRPr="00FF76EF" w14:paraId="660BC090" w14:textId="77777777" w:rsidTr="00AE13FD">
        <w:tc>
          <w:tcPr>
            <w:tcW w:w="1399" w:type="dxa"/>
          </w:tcPr>
          <w:p w14:paraId="0895B801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пп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3) п. 4 ст. 72</w:t>
            </w:r>
          </w:p>
        </w:tc>
        <w:tc>
          <w:tcPr>
            <w:tcW w:w="4394" w:type="dxa"/>
          </w:tcPr>
          <w:p w14:paraId="72C0C65E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ind w:left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жизнь и (или) здоровье людей, условия их проживания и деятельности;</w:t>
            </w:r>
          </w:p>
        </w:tc>
        <w:tc>
          <w:tcPr>
            <w:tcW w:w="9498" w:type="dxa"/>
          </w:tcPr>
          <w:p w14:paraId="6886F357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Проведение планируемых работ не вызовет нежелательной нагрузки на социально-бытовую инфраструктуру населенных пунктов района. </w:t>
            </w:r>
          </w:p>
          <w:p w14:paraId="1C323FBA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В то же время, определенное возрастание спроса на рабочую силу на период СМР и эксплуатации положительно скажутся на увеличении занятости местного населения. </w:t>
            </w:r>
          </w:p>
          <w:p w14:paraId="4EC3845B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Дополнительный экономический эффект в районе может быть получен за счет привлечения местных подрядчиков для выполнения определенных видов работ: транспортные услуги, поставка строительных материалов и оборудования. </w:t>
            </w:r>
          </w:p>
          <w:p w14:paraId="3DB98355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Планируемые работы, не приведут к значительному загрязнению окружающей природной среды, что не отобразится негативно на здоровье населения.</w:t>
            </w:r>
          </w:p>
          <w:p w14:paraId="10F0196A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line="259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Все потенциальные отрицательные воздействия низкие. Необходимо учитывать и положительное воздействие. Увеличатся дополнительные возможности трудоустройства, что приведет к увеличению доходов людей, работающих на объекте, и тех, кто предоставляет услуги на объекте</w:t>
            </w:r>
          </w:p>
        </w:tc>
      </w:tr>
      <w:tr w:rsidR="00FF76EF" w:rsidRPr="00FF76EF" w14:paraId="141B7494" w14:textId="77777777" w:rsidTr="00AE13FD">
        <w:tc>
          <w:tcPr>
            <w:tcW w:w="1399" w:type="dxa"/>
          </w:tcPr>
          <w:p w14:paraId="6BE731F8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пп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3) п. 4 ст. 72</w:t>
            </w:r>
          </w:p>
        </w:tc>
        <w:tc>
          <w:tcPr>
            <w:tcW w:w="4394" w:type="dxa"/>
          </w:tcPr>
          <w:p w14:paraId="1F74F93F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ind w:left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биоразнообразие (в том числе растительный и животный мир, генетические </w:t>
            </w:r>
            <w:proofErr w:type="gram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ресурсы ,</w:t>
            </w:r>
            <w:proofErr w:type="gram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природные ареалы растений и диких животных, пути миграции диких животных, экосистемы);</w:t>
            </w:r>
          </w:p>
        </w:tc>
        <w:tc>
          <w:tcPr>
            <w:tcW w:w="9498" w:type="dxa"/>
          </w:tcPr>
          <w:p w14:paraId="658AACFE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line="259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Участки, представляющие особую ценность в качестве среды обитания диких животных, места размножения объектов животного мира, пути миграции и места концентрации животных в пределах площадки работ на территории строительства отсутствуют. Проектом пользование животного миром не предусмотрено.</w:t>
            </w:r>
          </w:p>
        </w:tc>
      </w:tr>
      <w:tr w:rsidR="00FF76EF" w:rsidRPr="00FF76EF" w14:paraId="1A307555" w14:textId="77777777" w:rsidTr="00AE13FD">
        <w:tc>
          <w:tcPr>
            <w:tcW w:w="1399" w:type="dxa"/>
          </w:tcPr>
          <w:p w14:paraId="7C53FF3E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пп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3) п. 4 ст. 72</w:t>
            </w:r>
          </w:p>
        </w:tc>
        <w:tc>
          <w:tcPr>
            <w:tcW w:w="4394" w:type="dxa"/>
          </w:tcPr>
          <w:p w14:paraId="3D73F78B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ind w:left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земли (в том числе изъятие земель), почвы (в том числе включая органический состав, эрозию, уплотнение, иные формы деградации);</w:t>
            </w:r>
          </w:p>
        </w:tc>
        <w:tc>
          <w:tcPr>
            <w:tcW w:w="9498" w:type="dxa"/>
          </w:tcPr>
          <w:p w14:paraId="24EC5974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line="259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Все работы по проекту проводятся в границах территории  по </w:t>
            </w: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ГосАкту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№ 2025-6298285 от 04.09.2025г. (кадастровый номер 03:341:174:1500)  – 31,8436 га. Дополнительного изъятия земель проектом не предусмотрено. Влияние на земельные ресурсы не будет оказываться так как предприятие будет располагаться в зданиях.</w:t>
            </w:r>
          </w:p>
        </w:tc>
      </w:tr>
      <w:tr w:rsidR="00FF76EF" w:rsidRPr="00FF76EF" w14:paraId="1DDB27C4" w14:textId="77777777" w:rsidTr="00AE13FD">
        <w:tc>
          <w:tcPr>
            <w:tcW w:w="1399" w:type="dxa"/>
          </w:tcPr>
          <w:p w14:paraId="50120E93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пп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3) п. 4 ст. 72</w:t>
            </w:r>
          </w:p>
        </w:tc>
        <w:tc>
          <w:tcPr>
            <w:tcW w:w="4394" w:type="dxa"/>
          </w:tcPr>
          <w:p w14:paraId="5FC60F4B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ind w:left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воды (в том числе </w:t>
            </w: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гидроморфологические</w:t>
            </w:r>
            <w:proofErr w:type="spellEnd"/>
          </w:p>
          <w:p w14:paraId="4C458DAE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ind w:left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изменения, количество и</w:t>
            </w:r>
          </w:p>
          <w:p w14:paraId="23593975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ind w:left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качество вод);</w:t>
            </w:r>
          </w:p>
        </w:tc>
        <w:tc>
          <w:tcPr>
            <w:tcW w:w="9498" w:type="dxa"/>
          </w:tcPr>
          <w:p w14:paraId="30FE10E6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line="259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Предприятие не будет осуществлять сбросов непосредственно в поверхностные водные объекты прилегающей территории, поэтому воздействие на подземные и поверхностные воды не окажет. Негативного влияния на подземные и поверхностные воды при соблюдении технологического режима эксплуатации не ожидается.</w:t>
            </w:r>
          </w:p>
        </w:tc>
      </w:tr>
      <w:tr w:rsidR="00FF76EF" w:rsidRPr="00FF76EF" w14:paraId="6B9A0FCE" w14:textId="77777777" w:rsidTr="00AE13FD">
        <w:tc>
          <w:tcPr>
            <w:tcW w:w="1399" w:type="dxa"/>
          </w:tcPr>
          <w:p w14:paraId="7B91465E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пп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3) п. 4 ст. 72</w:t>
            </w:r>
          </w:p>
        </w:tc>
        <w:tc>
          <w:tcPr>
            <w:tcW w:w="4394" w:type="dxa"/>
          </w:tcPr>
          <w:p w14:paraId="0F457EE2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ind w:left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атмосферный воздух;</w:t>
            </w:r>
          </w:p>
        </w:tc>
        <w:tc>
          <w:tcPr>
            <w:tcW w:w="9498" w:type="dxa"/>
          </w:tcPr>
          <w:p w14:paraId="78216BF4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x-none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x-none" w:eastAsia="x-none"/>
                <w14:ligatures w14:val="none"/>
              </w:rPr>
              <w:t>На период строительства временными источниками загрязнения атмосферы будут являться: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x-none"/>
                <w14:ligatures w14:val="none"/>
              </w:rPr>
              <w:t xml:space="preserve">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работа аварийного дизель-генератора;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x-none"/>
                <w14:ligatures w14:val="none"/>
              </w:rPr>
              <w:t xml:space="preserve">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x-none" w:eastAsia="x-none"/>
                <w14:ligatures w14:val="none"/>
              </w:rPr>
              <w:t>строительные машины и механизмы;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x-none"/>
                <w14:ligatures w14:val="none"/>
              </w:rPr>
              <w:t xml:space="preserve"> земляные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x-none" w:eastAsia="x-none"/>
                <w14:ligatures w14:val="none"/>
              </w:rPr>
              <w:t xml:space="preserve"> работы: транспортные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x-none"/>
                <w14:ligatures w14:val="none"/>
              </w:rPr>
              <w:t xml:space="preserve"> работы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x-none" w:eastAsia="x-none"/>
                <w14:ligatures w14:val="none"/>
              </w:rPr>
              <w:t xml:space="preserve">,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x-none"/>
                <w14:ligatures w14:val="none"/>
              </w:rPr>
              <w:t xml:space="preserve">выемочно-погрузочные,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x-none" w:eastAsia="x-none"/>
                <w14:ligatures w14:val="none"/>
              </w:rPr>
              <w:t>погрузочно-разгрузочные работы, благоустройство;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x-none"/>
                <w14:ligatures w14:val="none"/>
              </w:rPr>
              <w:t xml:space="preserve"> хранение грунта; з</w:t>
            </w: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x-none" w:eastAsia="x-none"/>
                <w14:ligatures w14:val="none"/>
              </w:rPr>
              <w:t>аправка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x-none" w:eastAsia="x-none"/>
                <w14:ligatures w14:val="none"/>
              </w:rPr>
              <w:t xml:space="preserve"> топливом;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x-none"/>
                <w14:ligatures w14:val="none"/>
              </w:rPr>
              <w:t xml:space="preserve"> эл</w:t>
            </w: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x-none" w:eastAsia="x-none"/>
                <w14:ligatures w14:val="none"/>
              </w:rPr>
              <w:t>ектросварка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x-none"/>
                <w14:ligatures w14:val="none"/>
              </w:rPr>
              <w:t>; г</w:t>
            </w: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x-none" w:eastAsia="x-none"/>
                <w14:ligatures w14:val="none"/>
              </w:rPr>
              <w:t>азорезка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x-none"/>
                <w14:ligatures w14:val="none"/>
              </w:rPr>
              <w:t>;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x-none" w:eastAsia="x-none"/>
                <w14:ligatures w14:val="none"/>
              </w:rPr>
              <w:t xml:space="preserve">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x-none"/>
                <w14:ligatures w14:val="none"/>
              </w:rPr>
              <w:t xml:space="preserve"> пересыпка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x-none" w:eastAsia="x-none"/>
                <w14:ligatures w14:val="none"/>
              </w:rPr>
              <w:t xml:space="preserve"> пылящих материалов;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x-none"/>
                <w14:ligatures w14:val="none"/>
              </w:rPr>
              <w:t xml:space="preserve"> л</w:t>
            </w: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x-none" w:eastAsia="x-none"/>
                <w14:ligatures w14:val="none"/>
              </w:rPr>
              <w:t>акокрасочные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x-none" w:eastAsia="x-none"/>
                <w14:ligatures w14:val="none"/>
              </w:rPr>
              <w:t xml:space="preserve"> работы: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x-none"/>
                <w14:ligatures w14:val="none"/>
              </w:rPr>
              <w:t xml:space="preserve">грунтование,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x-none" w:eastAsia="x-none"/>
                <w14:ligatures w14:val="none"/>
              </w:rPr>
              <w:t>окрашивание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x-none"/>
                <w14:ligatures w14:val="none"/>
              </w:rPr>
              <w:t>;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x-none" w:eastAsia="x-none"/>
                <w14:ligatures w14:val="none"/>
              </w:rPr>
              <w:t xml:space="preserve">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x-none"/>
                <w14:ligatures w14:val="none"/>
              </w:rPr>
              <w:t xml:space="preserve"> р</w:t>
            </w: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x-none" w:eastAsia="x-none"/>
                <w14:ligatures w14:val="none"/>
              </w:rPr>
              <w:t>абота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x-none" w:eastAsia="x-none"/>
                <w14:ligatures w14:val="none"/>
              </w:rPr>
              <w:t xml:space="preserve"> компрессора с двигателем внутреннего сгорания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x-none"/>
                <w14:ligatures w14:val="none"/>
              </w:rPr>
              <w:t>; б</w:t>
            </w: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x-none" w:eastAsia="x-none"/>
                <w14:ligatures w14:val="none"/>
              </w:rPr>
              <w:t>ак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x-none" w:eastAsia="x-none"/>
                <w14:ligatures w14:val="none"/>
              </w:rPr>
              <w:t xml:space="preserve"> компрессора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x-none"/>
                <w14:ligatures w14:val="none"/>
              </w:rPr>
              <w:t xml:space="preserve">;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x-none" w:eastAsia="x-none"/>
                <w14:ligatures w14:val="none"/>
              </w:rPr>
              <w:t xml:space="preserve">сварка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x-none"/>
                <w14:ligatures w14:val="none"/>
              </w:rPr>
              <w:t>полиэтиленовых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x-none" w:eastAsia="x-none"/>
                <w14:ligatures w14:val="none"/>
              </w:rPr>
              <w:t xml:space="preserve"> труб;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x-none"/>
                <w14:ligatures w14:val="none"/>
              </w:rPr>
              <w:t xml:space="preserve"> д</w:t>
            </w: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x-none" w:eastAsia="x-none"/>
                <w14:ligatures w14:val="none"/>
              </w:rPr>
              <w:t>еревообработка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x-none"/>
                <w14:ligatures w14:val="none"/>
              </w:rPr>
              <w:t>.</w:t>
            </w:r>
          </w:p>
          <w:p w14:paraId="35377743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ru-RU"/>
                <w14:ligatures w14:val="none"/>
              </w:rPr>
              <w:lastRenderedPageBreak/>
              <w:t>Выброс вредных веществ на период строительства составит: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ru-RU"/>
                <w14:ligatures w14:val="none"/>
              </w:rPr>
              <w:t xml:space="preserve"> 54,6364595 т/г; 9,03069545 г/сек. </w:t>
            </w:r>
          </w:p>
          <w:p w14:paraId="2BE7167D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Загрязняющие вещества на период строительства:</w:t>
            </w:r>
            <w:r w:rsidRPr="00FF76E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железа оксид (класс опасности 3),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марганец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(класс опасности 2),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азота диоксид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(класс опасности 2),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азота оксид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(класс опасности 3),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углерод (сажа)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(класс опасности 3),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сера диоксид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(класс опасности 3),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сероводород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(класс опасности 2),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углерода оксид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(класс опасности 4),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фтористый водород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(класс опасности 2),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фториды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(класс опасности 2),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диметилбензол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(класс опасности 3),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хлорэтилен</w:t>
            </w:r>
            <w:proofErr w:type="spellEnd"/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(класс опасности 1),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бенз</w:t>
            </w:r>
            <w:proofErr w:type="spellEnd"/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(а)пирен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(класс опасности 1),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формальдегид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(класс опасности 2),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уайт</w:t>
            </w:r>
            <w:proofErr w:type="spellEnd"/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-спирит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(класс опасности -),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алканы С12-С19 (углеводороды предельные С12-С19)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(класс опасности 4),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взвешенные частицы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(класс опасности 3),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пыль неорганическая 70-20% SiO2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(класс опасности 3),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пыль древесная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(класс опасности -).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 </w:t>
            </w:r>
          </w:p>
          <w:p w14:paraId="5B568862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  <w:t>Источниками загрязнения атмосферы на период эксплуатации являются: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Технологические котлы котельной Энергоблока (оксиды азота, серы диоксид, оксид углерода);  Технологические котлы котельной Лаборатории (оксиды азота, серы диоксид, оксид углерода);  Технологические котлы котельной ЛОС (оксиды азота, серы диоксид, оксид углерода);  Парогенератор (оксиды азота, серы диоксид, оксид углерода);   Биофильтр (оксиды азота, оксид углерода, серы диоксид, сероводород); Резервуары хранения дизельного топлива (выделяются сероводород, углеводороды); ремонтная мастерская (железа оксид, марганец и его соединения, азота диоксид, углерода оксид, фтористый водород, фториды неорганические, взвешенные вещества, пыль неорганическая: 70-20% SiO2);  Аналитическая лаборатория (натрий гидроксид, азотная кислота, аммиак, соляная кислота, серная кислота, бензол, толуол, тетрахлорметан, этанол, ацетон, уксусная кислота); Система Холодной плазмы (взвешенные вещества);    Работа аварийного дизель-генератора (диоксид и оксид азота, сажа, диоксид серы, оксид углерода, </w:t>
            </w: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бенз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(а)пирен, формальдегид, углеводороды); (CIP) Система подачи хим. реагентов; Ресивер  морозильной установки (аммиак); Двигатели паркующихся легковых автомашин и автобусов на открытых стоянках (оксиды азота, сажа, серы диоксид, углерода оксид, углеводороды).</w:t>
            </w:r>
          </w:p>
          <w:p w14:paraId="21BB02AD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  <w:t>Выброс вредных веществ на период эксплуатации составит: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660,0992435 т/период; 19,2342691 г/сек. </w:t>
            </w:r>
          </w:p>
          <w:p w14:paraId="1E626FFB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  <w:t>Загрязняющие вещества на период эксплуатации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: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416EAE73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Железа оксид (класс опасности 3),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марганец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(класс опасности 2), натрий гидроксид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(класс опасности -), азота диоксид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(класс опасности 2),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азота оксид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(класс опасности 3),</w:t>
            </w:r>
            <w:r w:rsidRPr="00FF76EF">
              <w:rPr>
                <w:rFonts w:ascii="Calibri" w:eastAsia="Calibri" w:hAnsi="Calibri" w:cs="Times New Roman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сера диоксид (класс опасности 3), сероводород (класс опасности 2), углерода оксид (класс опасности 4)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, алканы С12-С19 (углеводороды предельные С12-С19)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(класс опасности 4),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взвешенные частицы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(класс опасности 3),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фториды неорганические плохо растворимые (класс опасности 2), аммиак (класс опасности 4), соляная кислота (класс опасности 2), серная кислота (класс опасности 2), фтористые газообразные соединения /в пересчете на фтор/ (617) (класс опасности 2),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бензол (класс опасности 2), метилбензол (класс опасности 3)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тетрахлорметан (класс опасности 2), этанол (класс опасности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4), ацетон (класс опасности 4)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уксусная кислота (класс опасности 3),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пыль неорганическая, содержащая двуокись кремния в %: 70-20 (класс опасности 3).</w:t>
            </w:r>
          </w:p>
          <w:p w14:paraId="4E274971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Производственный мониторинг эмиссий на источниках выбросов, на границе СЗЗ и на территории прилегающей жилой зоны будет осуществлён в рамках проекта предварительной (расчётной) санитарно-защитной зоны, разрабатываемого для предприятия «Строительство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 xml:space="preserve">завода по производству кормов для домашних животных ТОО «Mars </w:t>
            </w: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Petcare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Kazakhstan».</w:t>
            </w:r>
          </w:p>
          <w:p w14:paraId="543961D2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11" w:line="268" w:lineRule="auto"/>
              <w:ind w:right="5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Анализ результатов расчета показал, что при заданных параметрах источников по рассматриваемым веществам, приземные концентрации на границе жилой зоны находятся в пределах допустимых и не превышают предельно допустимых значений. </w:t>
            </w:r>
          </w:p>
          <w:p w14:paraId="386A931A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11" w:line="268" w:lineRule="auto"/>
              <w:ind w:right="5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Выполненные расчеты рассеивания показали, что зона загрязнения не выходит за границы объекта. Воздействие на воздушный бассейн квалифицируется как незначительное (существующее и проектируемое положение), степень опасности для здоровья.</w:t>
            </w:r>
          </w:p>
        </w:tc>
      </w:tr>
      <w:tr w:rsidR="00FF76EF" w:rsidRPr="00FF76EF" w14:paraId="5C456060" w14:textId="77777777" w:rsidTr="00AE13FD">
        <w:tc>
          <w:tcPr>
            <w:tcW w:w="1399" w:type="dxa"/>
          </w:tcPr>
          <w:p w14:paraId="105D36FE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пп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3) п. 4 ст. 72</w:t>
            </w:r>
          </w:p>
        </w:tc>
        <w:tc>
          <w:tcPr>
            <w:tcW w:w="4394" w:type="dxa"/>
          </w:tcPr>
          <w:p w14:paraId="63136A24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ind w:left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сопротивляемость к изменению климата экологических и социально-экономических систем;</w:t>
            </w:r>
          </w:p>
        </w:tc>
        <w:tc>
          <w:tcPr>
            <w:tcW w:w="9498" w:type="dxa"/>
          </w:tcPr>
          <w:p w14:paraId="7ADBC5EF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line="259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Строительство объекта будет оказывать положительный эффект в первую очередь, на областном и местном уровне воздействий. В регионе может незначительно увеличиться первичная и вторичная занятость местного населения, что приведет к увеличению доходов населения и росту благосостояния.</w:t>
            </w:r>
          </w:p>
        </w:tc>
      </w:tr>
      <w:tr w:rsidR="00FF76EF" w:rsidRPr="00FF76EF" w14:paraId="732DF0E9" w14:textId="77777777" w:rsidTr="00AE13FD">
        <w:tc>
          <w:tcPr>
            <w:tcW w:w="1399" w:type="dxa"/>
          </w:tcPr>
          <w:p w14:paraId="6C8F3B22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пп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3) п. 4 ст. 72</w:t>
            </w:r>
          </w:p>
        </w:tc>
        <w:tc>
          <w:tcPr>
            <w:tcW w:w="4394" w:type="dxa"/>
          </w:tcPr>
          <w:p w14:paraId="4DDC75A5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ind w:left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материальные активы, объекты </w:t>
            </w: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историкокультурного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наследия (в том числе архитектурные и археологические), ландшафты;</w:t>
            </w:r>
          </w:p>
        </w:tc>
        <w:tc>
          <w:tcPr>
            <w:tcW w:w="9498" w:type="dxa"/>
          </w:tcPr>
          <w:p w14:paraId="1D9A232B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line="259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Для реализации проекта планируется привлекать инвестиционные вложения. Реализация данного проекта предусматривается вдали от охраняемых объектов и не затрагивает памятники, состоящие на учете в органах охраны памятников Комитета культуры РК, имеющих архитектурно-художественную ценность и представляющих научный интерес в изучении народного зодчества Казахстана.</w:t>
            </w:r>
          </w:p>
          <w:p w14:paraId="3D43F57F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line="259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 площадке строительства объекта архитектурные памятники, памятники истории и культуры отсутствуют. На исследуемом участке ТОО «Археологические исследования», ТОО «Туран» проведена историко-культурная экспертиза, подготовлено заключение историко-культурной экспертизы №ARRES-EX-</w:t>
            </w:r>
            <w:proofErr w:type="gram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25-26</w:t>
            </w:r>
            <w:proofErr w:type="gram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от 02.12.2025г.</w:t>
            </w:r>
          </w:p>
        </w:tc>
      </w:tr>
      <w:tr w:rsidR="00FF76EF" w:rsidRPr="00FF76EF" w14:paraId="3C39AD95" w14:textId="77777777" w:rsidTr="00AE13FD">
        <w:tc>
          <w:tcPr>
            <w:tcW w:w="1399" w:type="dxa"/>
          </w:tcPr>
          <w:p w14:paraId="44800A70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пп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3) п. 4 ст. 72</w:t>
            </w:r>
          </w:p>
        </w:tc>
        <w:tc>
          <w:tcPr>
            <w:tcW w:w="4394" w:type="dxa"/>
          </w:tcPr>
          <w:p w14:paraId="7F1D44D3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ind w:left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взаимодействие указанных объектов</w:t>
            </w:r>
          </w:p>
        </w:tc>
        <w:tc>
          <w:tcPr>
            <w:tcW w:w="9498" w:type="dxa"/>
          </w:tcPr>
          <w:p w14:paraId="20E64033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line="259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FF76EF" w:rsidRPr="00FF76EF" w14:paraId="6F7A4266" w14:textId="77777777" w:rsidTr="00AE13FD">
        <w:tc>
          <w:tcPr>
            <w:tcW w:w="1399" w:type="dxa"/>
          </w:tcPr>
          <w:p w14:paraId="0BC50ACB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пп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4) п. 4 ст. 72 </w:t>
            </w:r>
          </w:p>
          <w:p w14:paraId="213BC32C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пп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5) п. 4 ст. 72 </w:t>
            </w:r>
          </w:p>
          <w:p w14:paraId="0CBB3605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пп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6) п. 4 ст. 72</w:t>
            </w:r>
          </w:p>
          <w:p w14:paraId="051418CA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пп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7) п. 4 ст. 72</w:t>
            </w:r>
          </w:p>
        </w:tc>
        <w:tc>
          <w:tcPr>
            <w:tcW w:w="4394" w:type="dxa"/>
          </w:tcPr>
          <w:p w14:paraId="6F07AEFC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ind w:left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6) информация о предельных количественных и качественных показателях эмиссий, физических воздействий на окружающую среду, предельном количестве накопления отходов, а также их захоронения, если оно планируется в рамках намечаемой деятельности.</w:t>
            </w:r>
          </w:p>
        </w:tc>
        <w:tc>
          <w:tcPr>
            <w:tcW w:w="9498" w:type="dxa"/>
          </w:tcPr>
          <w:p w14:paraId="14D0DCD4" w14:textId="0893DFE4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Выброс ЗВ на период строительства: 54,6364595 т/г; 9,03069545 г/сек.</w:t>
            </w:r>
            <w:r w:rsidRPr="00FF76EF">
              <w:rPr>
                <w:rFonts w:ascii="Times New Roman" w:eastAsia="Calibri" w:hAnsi="Times New Roman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2BB47E6B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ЗВ на период строительства: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  <w:p w14:paraId="46629AB3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железа оксид (3)- 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0,25012 т/пер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</w:p>
          <w:p w14:paraId="4FD597F9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марганец (2)-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0,01706 т/пер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</w:p>
          <w:p w14:paraId="50340838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азота диоксид (2)-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2,32397 т/пер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, </w:t>
            </w:r>
          </w:p>
          <w:p w14:paraId="772C213C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азота оксид (3)-</w:t>
            </w:r>
            <w:r w:rsidRPr="00FF76EF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  <w14:ligatures w14:val="none"/>
              </w:rPr>
              <w:t xml:space="preserve"> 0,37060 т/пер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, </w:t>
            </w:r>
          </w:p>
          <w:p w14:paraId="7303F347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углерод (сажа) (3)-</w:t>
            </w:r>
            <w:r w:rsidRPr="00FF76EF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  <w14:ligatures w14:val="none"/>
              </w:rPr>
              <w:t xml:space="preserve"> 0,19890 т/пер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, </w:t>
            </w:r>
          </w:p>
          <w:p w14:paraId="7998EDFD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сера диоксид (3)-</w:t>
            </w:r>
            <w:r w:rsidRPr="00FF76EF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  <w14:ligatures w14:val="none"/>
              </w:rPr>
              <w:t xml:space="preserve"> 0,29835 т/пер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, </w:t>
            </w:r>
          </w:p>
          <w:p w14:paraId="7AEF0535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сероводород (2)-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0,000368 т/пер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, </w:t>
            </w:r>
          </w:p>
          <w:p w14:paraId="3EA7BDA9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углерода оксид (4)-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2,242556 т/пер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, </w:t>
            </w:r>
          </w:p>
          <w:p w14:paraId="4423DC87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фтористый водород (2)-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0,01313 т/пер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, </w:t>
            </w:r>
          </w:p>
          <w:p w14:paraId="2ED0029B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фториды (2)-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0,05775 т/пер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, </w:t>
            </w:r>
          </w:p>
          <w:p w14:paraId="7D00CCCC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диметилбензол (3)-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7,69500 т/пер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, </w:t>
            </w:r>
          </w:p>
          <w:p w14:paraId="22BD9BCE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хлорэтилен</w:t>
            </w:r>
            <w:proofErr w:type="spellEnd"/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(1)-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0,000002 т/пер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, </w:t>
            </w:r>
          </w:p>
          <w:p w14:paraId="5F0F04AD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бенз</w:t>
            </w:r>
            <w:proofErr w:type="spellEnd"/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(а)пирен (1)-</w:t>
            </w:r>
            <w:r w:rsidRPr="00FF76EF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  <w14:ligatures w14:val="none"/>
              </w:rPr>
              <w:t xml:space="preserve"> 0,0000035 т/пер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, </w:t>
            </w:r>
          </w:p>
          <w:p w14:paraId="5E334EB1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формальдегид (2)-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0,03980 т/пер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, </w:t>
            </w:r>
          </w:p>
          <w:p w14:paraId="715EC114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уайт</w:t>
            </w:r>
            <w:proofErr w:type="spellEnd"/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-спирит (-)-</w:t>
            </w:r>
            <w:r w:rsidRPr="00FF76EF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  <w14:ligatures w14:val="none"/>
              </w:rPr>
              <w:t>3,42000 т/пер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, </w:t>
            </w:r>
          </w:p>
          <w:p w14:paraId="5B2201DE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алканы С12-С19 (4)-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18,97516 т/пер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, </w:t>
            </w:r>
          </w:p>
          <w:p w14:paraId="42AE872D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взвешенные частицы (3)-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6,27000 т/пер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, </w:t>
            </w:r>
          </w:p>
          <w:p w14:paraId="3C84A7E8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пыль неорганическая </w:t>
            </w:r>
            <w:proofErr w:type="gramStart"/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70-20</w:t>
            </w:r>
            <w:proofErr w:type="gramEnd"/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% SiO2 (3)-</w:t>
            </w: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10,86702 т/пер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, </w:t>
            </w:r>
          </w:p>
          <w:p w14:paraId="482A51F6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пыль древесная (-)-</w:t>
            </w:r>
            <w:r w:rsidRPr="00FF76EF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/>
                <w14:ligatures w14:val="none"/>
              </w:rPr>
              <w:t>1,59667 т/пер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. </w:t>
            </w:r>
          </w:p>
          <w:p w14:paraId="1A972CAD" w14:textId="77777777" w:rsidR="00FF76EF" w:rsidRPr="00FF76EF" w:rsidRDefault="00FF76EF" w:rsidP="0038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70C0"/>
                <w:kern w:val="0"/>
                <w:sz w:val="22"/>
                <w:szCs w:val="22"/>
                <w14:ligatures w14:val="none"/>
              </w:rPr>
            </w:pPr>
          </w:p>
          <w:p w14:paraId="3499A850" w14:textId="77777777" w:rsidR="00FF76EF" w:rsidRPr="00FF76EF" w:rsidRDefault="00FF76EF" w:rsidP="0038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Выброс </w:t>
            </w:r>
            <w:proofErr w:type="gramStart"/>
            <w:r w:rsidRPr="00FF76EF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ЗВ  на</w:t>
            </w:r>
            <w:proofErr w:type="gramEnd"/>
            <w:r w:rsidRPr="00FF76EF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период эксплуатации составит: 470,6808861 т/г; 13,2278523 г/сек. </w:t>
            </w:r>
          </w:p>
          <w:p w14:paraId="05DAD923" w14:textId="77777777" w:rsidR="00FF76EF" w:rsidRPr="00FF76EF" w:rsidRDefault="00FF76EF" w:rsidP="0038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gramStart"/>
            <w:r w:rsidRPr="00FF76EF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ЗВ  на</w:t>
            </w:r>
            <w:proofErr w:type="gramEnd"/>
            <w:r w:rsidRPr="00FF76EF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период эксплуатации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: </w:t>
            </w:r>
          </w:p>
          <w:p w14:paraId="37C8BF8C" w14:textId="77777777" w:rsidR="00FF76EF" w:rsidRPr="00FF76EF" w:rsidRDefault="00FF76EF" w:rsidP="0038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Железа оксид (3)-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0,03745776 т/год, </w:t>
            </w:r>
          </w:p>
          <w:p w14:paraId="2B6941AA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марганец (2)-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0,00322368 т/год, </w:t>
            </w:r>
          </w:p>
          <w:p w14:paraId="0008EE81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сода каустическая (-)-0,0003445 т/год, </w:t>
            </w:r>
          </w:p>
          <w:p w14:paraId="71B272DF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азота диоксид (2)-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91.0238836176 т/год, </w:t>
            </w:r>
          </w:p>
          <w:p w14:paraId="65EDD510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азота оксид (3)-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14.7905270554 т/год, </w:t>
            </w:r>
          </w:p>
          <w:p w14:paraId="7013BE9F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сера диоксид (3)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-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4.4262178238т/год, </w:t>
            </w:r>
          </w:p>
          <w:p w14:paraId="4084C49C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сероводород (2)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-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1,00226091429 т/год, </w:t>
            </w:r>
          </w:p>
          <w:p w14:paraId="40776F69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углерода оксид (4)-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483,93268968 т/год, </w:t>
            </w:r>
          </w:p>
          <w:p w14:paraId="40F9E7B6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алканы С12-С19 (4)-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0,0060371 т/год, </w:t>
            </w:r>
          </w:p>
          <w:p w14:paraId="4E3AFF6B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взвешенные частицы (3)-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1,05541356 т/год, </w:t>
            </w:r>
          </w:p>
          <w:p w14:paraId="48657E97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фториды неорганические плохо растворимые (2)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-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0,0115632 т/год, </w:t>
            </w:r>
          </w:p>
          <w:p w14:paraId="78B65512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аммиак (4)-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0,549393 т/год, </w:t>
            </w:r>
          </w:p>
          <w:p w14:paraId="05EA9B2A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соляная кислота (2)-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0,003469 т/год, </w:t>
            </w:r>
          </w:p>
          <w:p w14:paraId="144F450B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серная кислота (2)-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0,0007015 т/год, </w:t>
            </w:r>
          </w:p>
          <w:p w14:paraId="401885F9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фтористые газообразные соединения /в пересчете на фтор/ (617) (2)-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0,002628 т/год, бензол (2)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0,006465 т/год, </w:t>
            </w:r>
          </w:p>
          <w:p w14:paraId="07D8662C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метилбензол (3)-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0,0021315 т/год </w:t>
            </w:r>
          </w:p>
          <w:p w14:paraId="13D448C1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тетрахлорметан (2)-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0,012956 т/год, </w:t>
            </w:r>
          </w:p>
          <w:p w14:paraId="51F7D261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этанол (4)-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0,0438875 т/год, </w:t>
            </w:r>
          </w:p>
          <w:p w14:paraId="2B4EAAE8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ацетон (4)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-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0,0167405 т/год, </w:t>
            </w:r>
          </w:p>
          <w:p w14:paraId="03FF4DB1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уксусная кислота (3)-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0,0010092 т/год, </w:t>
            </w:r>
          </w:p>
          <w:p w14:paraId="745436BF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 xml:space="preserve">азотная кислота (2)- 0,2473804 т/год, </w:t>
            </w:r>
          </w:p>
          <w:p w14:paraId="5DC5271C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пыль неорганическая, содержащая двуокись кремния в %: </w:t>
            </w:r>
            <w:proofErr w:type="gramStart"/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70-20</w:t>
            </w:r>
            <w:proofErr w:type="gramEnd"/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(3)-</w:t>
            </w:r>
            <w:r w:rsidRPr="00FF76EF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76EF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0,0049056 т/пер.</w:t>
            </w:r>
          </w:p>
        </w:tc>
      </w:tr>
      <w:tr w:rsidR="00FF76EF" w:rsidRPr="00FF76EF" w14:paraId="15FB272C" w14:textId="77777777" w:rsidTr="00AE13FD">
        <w:tc>
          <w:tcPr>
            <w:tcW w:w="1399" w:type="dxa"/>
          </w:tcPr>
          <w:p w14:paraId="40522C1B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пп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8) п. 4 ст. 72</w:t>
            </w:r>
          </w:p>
        </w:tc>
        <w:tc>
          <w:tcPr>
            <w:tcW w:w="4394" w:type="dxa"/>
          </w:tcPr>
          <w:p w14:paraId="2B72D4C3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ind w:left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7) информация: о вероятности возникновения аварий и опасных природных явлений, характерных соответственно для намечаемой деятельности и предполагаемого места ее осуществления</w:t>
            </w:r>
          </w:p>
        </w:tc>
        <w:tc>
          <w:tcPr>
            <w:tcW w:w="9498" w:type="dxa"/>
          </w:tcPr>
          <w:p w14:paraId="6F590538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Наиболее вероятными аварийными ситуациями, которые могут возникнуть в результате намечаемой деятельности и существенным образом повлиять на сложившуюся экологическую ситуацию, являются: </w:t>
            </w:r>
          </w:p>
          <w:p w14:paraId="452A2104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- технологические отказы, обусловленные нарушением норм технологического режима производства или отдельных технологических процессов; </w:t>
            </w:r>
          </w:p>
          <w:p w14:paraId="7C41710A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- механические отказы, вызванные или полным разрушением или износом технологического оборудования или его деталей; </w:t>
            </w:r>
          </w:p>
          <w:p w14:paraId="759A7D9F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- чрезвычайные события, обусловленные пожарами, взрывами. </w:t>
            </w:r>
          </w:p>
          <w:p w14:paraId="42D239AB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Для предотвращения аварийных ситуаций в большинстве случаев требуется систематический контроль за выполнением технических инструкций и мероприятий по охране труда и пожарной профилактике.</w:t>
            </w:r>
          </w:p>
        </w:tc>
      </w:tr>
      <w:tr w:rsidR="00FF76EF" w:rsidRPr="00FF76EF" w14:paraId="686B8229" w14:textId="77777777" w:rsidTr="00AE13FD">
        <w:tc>
          <w:tcPr>
            <w:tcW w:w="1399" w:type="dxa"/>
          </w:tcPr>
          <w:p w14:paraId="5F1A727D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пп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8) п. 4 ст. 72</w:t>
            </w:r>
          </w:p>
        </w:tc>
        <w:tc>
          <w:tcPr>
            <w:tcW w:w="4394" w:type="dxa"/>
          </w:tcPr>
          <w:p w14:paraId="14A70565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ind w:left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о возможных существенных вредных воздействиях на окружающую среду,</w:t>
            </w:r>
          </w:p>
          <w:p w14:paraId="6686C151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ind w:left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связанных с рисками</w:t>
            </w:r>
          </w:p>
          <w:p w14:paraId="5AB32128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ind w:left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возникновения аварий и</w:t>
            </w:r>
          </w:p>
          <w:p w14:paraId="250BE87B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ind w:left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опасных природных</w:t>
            </w:r>
          </w:p>
          <w:p w14:paraId="54E26E34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ind w:left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явлений;</w:t>
            </w:r>
          </w:p>
        </w:tc>
        <w:tc>
          <w:tcPr>
            <w:tcW w:w="9498" w:type="dxa"/>
          </w:tcPr>
          <w:p w14:paraId="0DAAB196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line="259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При наступлении аварийной ситуации или экологического происшествия оператор объекта в соответствии с пунктом 4 статьи 362 Кодекса обязан незамедлительно уведомить любым доступным способом уполномоченный орган в области охраны окружающей среды и предоставить всю информацию, оказать содействие в целях минимизации последствий такого происшествия для жизни и здоровья людей и оценки степени фактического и потенциального экологического ущерба.</w:t>
            </w:r>
          </w:p>
        </w:tc>
      </w:tr>
      <w:tr w:rsidR="00FF76EF" w:rsidRPr="00FF76EF" w14:paraId="35E11E76" w14:textId="77777777" w:rsidTr="00AE13FD">
        <w:tc>
          <w:tcPr>
            <w:tcW w:w="1399" w:type="dxa"/>
          </w:tcPr>
          <w:p w14:paraId="7F6D4159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пп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8) п. 4 ст. 72</w:t>
            </w:r>
          </w:p>
        </w:tc>
        <w:tc>
          <w:tcPr>
            <w:tcW w:w="4394" w:type="dxa"/>
          </w:tcPr>
          <w:p w14:paraId="1D70E719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ind w:left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о мерах по предотвращению аварий и опасных природных явлений и ликвидации их последствий, включая оповещение населения;</w:t>
            </w:r>
          </w:p>
        </w:tc>
        <w:tc>
          <w:tcPr>
            <w:tcW w:w="9498" w:type="dxa"/>
          </w:tcPr>
          <w:p w14:paraId="0F5E75FD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line="259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В случае обнаружения аварийной ситуации: - передать информацию мастеру смены, диспетчеру рудника любыми доступными средствами связи; - прекратить производственную деятельность на участке аварии; - вывести персонал из опасной зоны.</w:t>
            </w:r>
          </w:p>
        </w:tc>
      </w:tr>
      <w:tr w:rsidR="00FF76EF" w:rsidRPr="00FF76EF" w14:paraId="23C60D91" w14:textId="77777777" w:rsidTr="00AE13FD">
        <w:tc>
          <w:tcPr>
            <w:tcW w:w="1399" w:type="dxa"/>
          </w:tcPr>
          <w:p w14:paraId="185A6D83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пп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9) п. 4 ст. 72</w:t>
            </w:r>
          </w:p>
        </w:tc>
        <w:tc>
          <w:tcPr>
            <w:tcW w:w="4394" w:type="dxa"/>
          </w:tcPr>
          <w:p w14:paraId="6027E97E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ind w:left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8) краткое описание: мер по предотвращению, сокращению, смягчению выявленных существенных воздействий намечаемой деятельности на окружающую среду;</w:t>
            </w:r>
          </w:p>
        </w:tc>
        <w:tc>
          <w:tcPr>
            <w:tcW w:w="9498" w:type="dxa"/>
          </w:tcPr>
          <w:p w14:paraId="7CD8C9E3" w14:textId="16B641FA" w:rsidR="00FF76EF" w:rsidRPr="00FF76EF" w:rsidRDefault="00FF76EF" w:rsidP="00382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Реализация проектных решений и последующая эксплуатация объекта «Строительство завода по производству кормов для домашних животных ТОО «Mars </w:t>
            </w: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Petcare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Kazakhstan», не приведет к изменению сложившегося уровня загрязнения компонентов окружающей среды и не вызовет необратимых процессов, разрушающих существующую экосистему.  Средняя комплексная оценка воздействия проектируемого объекта на компоненты окружающей среды характеризуется воздействием низкой значимости.</w:t>
            </w:r>
          </w:p>
        </w:tc>
      </w:tr>
      <w:tr w:rsidR="00FF76EF" w:rsidRPr="00FF76EF" w14:paraId="71BE1D84" w14:textId="77777777" w:rsidTr="00AE13FD">
        <w:tc>
          <w:tcPr>
            <w:tcW w:w="1399" w:type="dxa"/>
          </w:tcPr>
          <w:p w14:paraId="00033026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пп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9) п. 4 ст. 72</w:t>
            </w:r>
          </w:p>
        </w:tc>
        <w:tc>
          <w:tcPr>
            <w:tcW w:w="4394" w:type="dxa"/>
          </w:tcPr>
          <w:p w14:paraId="155AC553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ind w:left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мер по компенсации потерь биоразнообразия, если намечаемая деятельность может привести к таким потерям;</w:t>
            </w:r>
          </w:p>
        </w:tc>
        <w:tc>
          <w:tcPr>
            <w:tcW w:w="9498" w:type="dxa"/>
          </w:tcPr>
          <w:p w14:paraId="5650B860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line="259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Не предусматриваются</w:t>
            </w:r>
          </w:p>
        </w:tc>
      </w:tr>
      <w:tr w:rsidR="00FF76EF" w:rsidRPr="00FF76EF" w14:paraId="3A3EAED7" w14:textId="77777777" w:rsidTr="00AE13FD">
        <w:tc>
          <w:tcPr>
            <w:tcW w:w="1399" w:type="dxa"/>
          </w:tcPr>
          <w:p w14:paraId="257F42FF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пп</w:t>
            </w:r>
            <w:proofErr w:type="spellEnd"/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10) п. 4 ст. 72</w:t>
            </w:r>
          </w:p>
        </w:tc>
        <w:tc>
          <w:tcPr>
            <w:tcW w:w="4394" w:type="dxa"/>
          </w:tcPr>
          <w:p w14:paraId="1E39F5CC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after="5" w:line="270" w:lineRule="auto"/>
              <w:ind w:left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возможных необратимых воздействий намечаемой деятельности на окружающую среду и причин, по которым инициатором принято решение о выполнении операций, влекущих таких воздействия;</w:t>
            </w:r>
          </w:p>
        </w:tc>
        <w:tc>
          <w:tcPr>
            <w:tcW w:w="9498" w:type="dxa"/>
          </w:tcPr>
          <w:p w14:paraId="30975FB0" w14:textId="77777777" w:rsidR="00FF76EF" w:rsidRPr="00FF76EF" w:rsidRDefault="00FF76EF" w:rsidP="00FF76EF">
            <w:pPr>
              <w:widowControl w:val="0"/>
              <w:autoSpaceDE w:val="0"/>
              <w:autoSpaceDN w:val="0"/>
              <w:adjustRightInd w:val="0"/>
              <w:spacing w:line="259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FF76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Возможных необратимых воздействий намечаемой деятельности на окружающую среду не предусматривается</w:t>
            </w:r>
          </w:p>
        </w:tc>
      </w:tr>
    </w:tbl>
    <w:p w14:paraId="09141C27" w14:textId="77777777" w:rsidR="00FF76EF" w:rsidRDefault="00FF76EF"/>
    <w:sectPr w:rsidR="00FF76EF" w:rsidSect="00DD5A8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05687"/>
    <w:multiLevelType w:val="hybridMultilevel"/>
    <w:tmpl w:val="80361EE8"/>
    <w:lvl w:ilvl="0" w:tplc="30D6088C">
      <w:start w:val="3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8ED751F"/>
    <w:multiLevelType w:val="hybridMultilevel"/>
    <w:tmpl w:val="16F06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B14FE"/>
    <w:multiLevelType w:val="hybridMultilevel"/>
    <w:tmpl w:val="09F0874E"/>
    <w:lvl w:ilvl="0" w:tplc="C14CF8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756916">
    <w:abstractNumId w:val="0"/>
  </w:num>
  <w:num w:numId="2" w16cid:durableId="1650593421">
    <w:abstractNumId w:val="1"/>
  </w:num>
  <w:num w:numId="3" w16cid:durableId="2045255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12E"/>
    <w:rsid w:val="000948D5"/>
    <w:rsid w:val="00107638"/>
    <w:rsid w:val="002308FB"/>
    <w:rsid w:val="00382A21"/>
    <w:rsid w:val="004567AD"/>
    <w:rsid w:val="00685D86"/>
    <w:rsid w:val="00A2412E"/>
    <w:rsid w:val="00AD4602"/>
    <w:rsid w:val="00AF5EEB"/>
    <w:rsid w:val="00DD5A8E"/>
    <w:rsid w:val="00FF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4A7FA"/>
  <w15:chartTrackingRefBased/>
  <w15:docId w15:val="{383559EF-038C-4EF0-AEB1-AE57FF23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4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4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41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4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41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41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41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41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41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4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4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412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412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41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41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41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41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4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4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4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4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4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41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41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412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4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412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241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3811</Words>
  <Characters>21729</Characters>
  <Application>Microsoft Office Word</Application>
  <DocSecurity>0</DocSecurity>
  <Lines>181</Lines>
  <Paragraphs>50</Paragraphs>
  <ScaleCrop>false</ScaleCrop>
  <Company/>
  <LinksUpToDate>false</LinksUpToDate>
  <CharactersWithSpaces>25490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Arystanbek Berdygulov</dc:creator>
  <cp:keywords/>
  <dc:description/>
  <cp:lastModifiedBy>Асель Байдыханова</cp:lastModifiedBy>
  <cp:revision>2</cp:revision>
  <dcterms:created xsi:type="dcterms:W3CDTF">2026-07-22T09:38:00Z</dcterms:created>
  <dcterms:modified xsi:type="dcterms:W3CDTF">2026-07-22T09:38:00Z</dcterms:modified>
</cp:coreProperties>
</file>