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E7CB7F">
      <w:pPr>
        <w:spacing w:line="240" w:lineRule="auto"/>
        <w:ind w:left="0" w:leftChars="0" w:firstLine="663" w:firstLineChars="275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НЕТЕХНИЧЕСКОЕ РЕЗЮМЕ</w:t>
      </w:r>
      <w:r>
        <w:rPr>
          <w:rFonts w:hint="default" w:ascii="Times New Roman" w:hAnsi="Times New Roman" w:cs="Times New Roman"/>
          <w:b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/>
          <w:sz w:val="24"/>
          <w:szCs w:val="24"/>
        </w:rPr>
        <w:t>Проект нормативов допустимых выбросов (НДВ)</w:t>
      </w:r>
      <w:r>
        <w:rPr>
          <w:rFonts w:hint="default" w:ascii="Times New Roman" w:hAnsi="Times New Roman" w:cs="Times New Roman"/>
          <w:b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/>
          <w:sz w:val="24"/>
          <w:szCs w:val="24"/>
        </w:rPr>
        <w:t>Месторождение Сулутабан</w:t>
      </w:r>
      <w:r>
        <w:rPr>
          <w:rFonts w:hint="default" w:ascii="Times New Roman" w:hAnsi="Times New Roman" w:cs="Times New Roman"/>
          <w:b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/>
          <w:sz w:val="24"/>
          <w:szCs w:val="24"/>
        </w:rPr>
        <w:t>АО «Кристалл Менеджмент»</w:t>
      </w:r>
      <w:r>
        <w:rPr>
          <w:rFonts w:hint="default" w:ascii="Times New Roman" w:hAnsi="Times New Roman" w:cs="Times New Roman"/>
          <w:b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/>
          <w:sz w:val="24"/>
          <w:szCs w:val="24"/>
        </w:rPr>
        <w:t>2027 г.</w:t>
      </w:r>
    </w:p>
    <w:p w14:paraId="14E6664F">
      <w:pPr>
        <w:spacing w:line="240" w:lineRule="auto"/>
        <w:ind w:left="0" w:leftChars="0" w:firstLine="663" w:firstLineChars="275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1. Общая информация о проекте</w:t>
      </w:r>
    </w:p>
    <w:p w14:paraId="6C189074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Настоящее нетехническое резюме подготовлено в рамках корректировки проекта нормативов допустимых выбросов (НДВ) загрязняющих веществ в атмосферный воздух для месторождения Сулутабан. Документ предназначен для широкого круга пользователей, включая население, и содержит изложение основных положений проекта простым и понятным языком без использования сложной технической терминологии. Основной целью разработки проекта является определение таких объемов выбросов загрязняющих веществ, при которых деятельность предприятия не приведет к ухудшению качества атмосферного воздуха и не окажет негативного воздействия на здоровье населения и окружающую среду.</w:t>
      </w:r>
    </w:p>
    <w:p w14:paraId="1D197733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Проект разработан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на 2027 год</w:t>
      </w:r>
      <w:r>
        <w:rPr>
          <w:rFonts w:hint="default" w:ascii="Times New Roman" w:hAnsi="Times New Roman" w:cs="Times New Roman"/>
          <w:sz w:val="24"/>
          <w:szCs w:val="24"/>
        </w:rPr>
        <w:t>. Необходимость корректировки связана с переходом месторождения от стадии пробной эксплуатации к более активной фазе разработки, увеличением количества скважин и расширением производственной инфраструктуры.</w:t>
      </w:r>
    </w:p>
    <w:p w14:paraId="2C441095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3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2. Местоположение и природные условия</w:t>
      </w:r>
    </w:p>
    <w:p w14:paraId="75552488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Наименование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предприятия: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АО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«Кристалл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Менеджмент».</w:t>
      </w:r>
    </w:p>
    <w:p w14:paraId="3BDE49A0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Юридический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адрес: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Республика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Казахстан,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050000,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г.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Алматы,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ул.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Чайковского,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95. РНН 600 900 600 194</w:t>
      </w:r>
    </w:p>
    <w:p w14:paraId="3A36AA63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БИН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071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240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002 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>008</w:t>
      </w:r>
    </w:p>
    <w:p w14:paraId="1E2A7EDC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Вид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деятельности: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Разработка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месторождения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нефтегазовых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месторождений. Форма собственности: частная.</w:t>
      </w:r>
    </w:p>
    <w:p w14:paraId="5B49043D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Наименование объекта: Месторождение Сулутабан расположенное в Жалагашском районе Кызылординской области.</w:t>
      </w:r>
    </w:p>
    <w:p w14:paraId="3B5B1E52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настоящее время между АО «Кристалл Менеджмент» и Компетентным органом действует Дополнение №16 (регистрационный номер 5222-УВС от «06» августа 2025 г.) к Контракту №3996-УВС от «07» февраля 2014 г., устанавливающее срок действия контракта до «17» ноября 2048 года,с дальнейшим переходом на этап промышленной добычи.</w:t>
      </w:r>
    </w:p>
    <w:p w14:paraId="35EC335D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49" w:firstLineChars="275"/>
        <w:jc w:val="both"/>
        <w:textAlignment w:val="auto"/>
        <w:rPr>
          <w:rFonts w:hint="default" w:ascii="Times New Roman" w:hAnsi="Times New Roman" w:cs="Times New Roman"/>
          <w:i/>
          <w:sz w:val="24"/>
          <w:szCs w:val="24"/>
        </w:rPr>
      </w:pPr>
      <w:r>
        <w:rPr>
          <w:rFonts w:hint="default" w:ascii="Times New Roman" w:hAnsi="Times New Roman" w:cs="Times New Roman"/>
          <w:i/>
          <w:spacing w:val="-2"/>
          <w:sz w:val="24"/>
          <w:szCs w:val="24"/>
        </w:rPr>
        <w:t>Местоположение</w:t>
      </w:r>
    </w:p>
    <w:p w14:paraId="1B70215F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Месторождение</w:t>
      </w:r>
      <w:r>
        <w:rPr>
          <w:rFonts w:hint="default" w:ascii="Times New Roman" w:hAnsi="Times New Roman" w:cs="Times New Roman"/>
          <w:spacing w:val="29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>Сулутабан</w:t>
      </w:r>
      <w:r>
        <w:rPr>
          <w:rFonts w:hint="default" w:ascii="Times New Roman" w:hAnsi="Times New Roman" w:cs="Times New Roman"/>
          <w:spacing w:val="31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>находится</w:t>
      </w:r>
      <w:r>
        <w:rPr>
          <w:rFonts w:hint="default" w:ascii="Times New Roman" w:hAnsi="Times New Roman" w:cs="Times New Roman"/>
          <w:spacing w:val="31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>на</w:t>
      </w:r>
      <w:r>
        <w:rPr>
          <w:rFonts w:hint="default" w:ascii="Times New Roman" w:hAnsi="Times New Roman" w:cs="Times New Roman"/>
          <w:spacing w:val="30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>территории</w:t>
      </w:r>
      <w:r>
        <w:rPr>
          <w:rFonts w:hint="default" w:ascii="Times New Roman" w:hAnsi="Times New Roman" w:cs="Times New Roman"/>
          <w:spacing w:val="30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>Контрактного</w:t>
      </w:r>
      <w:r>
        <w:rPr>
          <w:rFonts w:hint="default" w:ascii="Times New Roman" w:hAnsi="Times New Roman" w:cs="Times New Roman"/>
          <w:spacing w:val="29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>участка</w:t>
      </w:r>
      <w:r>
        <w:rPr>
          <w:rFonts w:hint="default" w:ascii="Times New Roman" w:hAnsi="Times New Roman" w:cs="Times New Roman"/>
          <w:spacing w:val="30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>АО</w:t>
      </w:r>
    </w:p>
    <w:p w14:paraId="2C9F53B4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«Кристалл Менеджмент», который расположен на территории Кызылординской (части Кармакшинского, Жалагашского, Сырдарьинского районов), Улытауской (часть Улытауского района) и Актюбинской (часть Иргизского района) областей Республики Казахстан (рисунок1).</w:t>
      </w:r>
    </w:p>
    <w:p w14:paraId="62C08861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Геологический отвод глубиной до кристаллического фундамента имеет площадь 18176,41 км</w:t>
      </w:r>
      <w:r>
        <w:rPr>
          <w:rFonts w:hint="default" w:ascii="Times New Roman" w:hAnsi="Times New Roman" w:cs="Times New Roman"/>
          <w:position w:val="8"/>
          <w:sz w:val="24"/>
          <w:szCs w:val="24"/>
        </w:rPr>
        <w:t>2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0F5EC8A0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 административном делении относится к Жалагашскому району Кызылординской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области.</w:t>
      </w:r>
    </w:p>
    <w:p w14:paraId="74B097F0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тектоническом отношении месторождение приурочено к западной части Южно-Торгайского бассейна, в районе с доказанной нефтегазоносностью на соседних месторождениях Майбулак, Бестобе, Караколь.</w:t>
      </w:r>
    </w:p>
    <w:p w14:paraId="352763B6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 географическом отношении площадь работ расположена в южной части Торгайской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низменности</w:t>
      </w:r>
    </w:p>
    <w:p w14:paraId="4E088F0E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 контрактной территории имеется достаточно хорошо развитая инфраструктура на соседних месторождениях Майбулак и Арыскум, принадлежащие АО «ПККР» (5-10 км от месторождений С. Майбулак, Караколь и Бестобе). При подсоединении к имеющейся инфраструктуре товарная нефть может быть загружена на экспортный нефтепровод Казахстан-Китай и ШНОС. От Блока А до промысла месторождения Нуралы ТОО СП КГМ расстояние в среднем составляет до 153 км. Также на юге проходит республиканский магистральный газопровод «Бейнеу-Бозой-Шымкент».</w:t>
      </w:r>
    </w:p>
    <w:p w14:paraId="79B47252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Ближайшими станциями железной и автомобильной дороги являются Торетам и Жосалы, расположенные соответственно в 75 и 90 км на юг от южной границы участка и административно относящиеся к Кызылординской области. Расстояние до ближайшего областного центра города Кызылорда 230 км, поселок Жусалы – в 130 км к югу.</w:t>
      </w:r>
    </w:p>
    <w:p w14:paraId="49E8798E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 востоке в 100 км расположено месторождение Кумколь, промышленное освоение которого начато в 1990 году.</w:t>
      </w:r>
    </w:p>
    <w:p w14:paraId="39C5DB13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орографическом отношении район работ представляет собой низменную равнину с отметками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рельефа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от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60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до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130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м,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осложненную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возвышенным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плато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отметками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200-230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 над уровнем моря.</w:t>
      </w:r>
    </w:p>
    <w:p w14:paraId="3AD7930F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Климат района – резко континентальный, с большими сезонными и суточными колебаниями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температуры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воздуха,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дефицитом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его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влажности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малым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количеством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осадков. Максимальная температура летом достигает плюс 40</w:t>
      </w:r>
      <w:r>
        <w:rPr>
          <w:rFonts w:hint="default" w:ascii="Times New Roman" w:hAnsi="Times New Roman" w:cs="Times New Roman"/>
          <w:position w:val="8"/>
          <w:sz w:val="24"/>
          <w:szCs w:val="24"/>
        </w:rPr>
        <w:t>0</w:t>
      </w:r>
      <w:r>
        <w:rPr>
          <w:rFonts w:hint="default" w:ascii="Times New Roman" w:hAnsi="Times New Roman" w:cs="Times New Roman"/>
          <w:sz w:val="24"/>
          <w:szCs w:val="24"/>
        </w:rPr>
        <w:t>-45°С, минимальная зимой – плюс 35</w:t>
      </w:r>
      <w:r>
        <w:rPr>
          <w:rFonts w:hint="default" w:ascii="Times New Roman" w:hAnsi="Times New Roman" w:cs="Times New Roman"/>
          <w:position w:val="8"/>
          <w:sz w:val="24"/>
          <w:szCs w:val="24"/>
        </w:rPr>
        <w:t>0</w:t>
      </w:r>
      <w:r>
        <w:rPr>
          <w:rFonts w:hint="default" w:ascii="Times New Roman" w:hAnsi="Times New Roman" w:cs="Times New Roman"/>
          <w:sz w:val="24"/>
          <w:szCs w:val="24"/>
        </w:rPr>
        <w:t>-40°С. Осадки выпадают неравномерно, главным образом, в зимне-весенний период. Их среднегодовое количество не превышает –150 мм.</w:t>
      </w:r>
    </w:p>
    <w:p w14:paraId="5CB1D2B6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Для района месторождения характерны сильные ветры: летом западные и юго-западные, в остальные время года – северные и северо-восточные, в зимнее время часты метели и бураны. Водные артерии на площади месторождения отсутствуют.</w:t>
      </w:r>
    </w:p>
    <w:p w14:paraId="641E9446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Для технического водоснабжения используются слабоминерализованные вода альбских и сеноманских горизонтов, залегающих на глубине от 70 до 500 м.</w:t>
      </w:r>
    </w:p>
    <w:p w14:paraId="5BF345B3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Район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не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сейсмоактивный.</w:t>
      </w:r>
    </w:p>
    <w:p w14:paraId="769C1403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Растительный покров представлен типичной для пустынь и полупустынь растительностью: саксаулом, чием, серой полынью, ковыльными и прочими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представителями мелкотравья. В низинах увлажненные места густо зарастают тростником, камышом и осокой.</w:t>
      </w:r>
    </w:p>
    <w:p w14:paraId="617B3296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Животный мир и виды насекомых характерны для степной зоны Средней Азии, приспособившиеся к резко континентальной засушливой среде. Он достаточно разнообразен и тесно связан с ландшафтной зональностью.</w:t>
      </w:r>
    </w:p>
    <w:p w14:paraId="3D2B38CA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  <w:sectPr>
          <w:footerReference r:id="rId5" w:type="default"/>
          <w:pgSz w:w="11910" w:h="16870"/>
          <w:pgMar w:top="600" w:right="515" w:bottom="880" w:left="1275" w:header="0" w:footer="691" w:gutter="0"/>
          <w:cols w:space="720" w:num="1"/>
        </w:sectPr>
      </w:pPr>
    </w:p>
    <w:p w14:paraId="1611B166">
      <w:pPr>
        <w:pStyle w:val="5"/>
        <w:pageBreakBefore w:val="0"/>
        <w:tabs>
          <w:tab w:val="left" w:pos="7801"/>
        </w:tabs>
        <w:kinsoku/>
        <w:wordWrap/>
        <w:overflowPunct/>
        <w:topLinePunct w:val="0"/>
        <w:bidi w:val="0"/>
        <w:snapToGrid/>
        <w:spacing w:before="0" w:beforeAutospacing="0" w:after="0" w:afterAutospacing="0" w:line="240" w:lineRule="auto"/>
        <w:ind w:left="0" w:leftChars="0" w:right="0" w:firstLine="663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АО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«Кристалл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Менеджмент»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ИП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«ЭКО-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ОРДА»</w:t>
      </w:r>
    </w:p>
    <w:p w14:paraId="721D7811">
      <w:pPr>
        <w:pStyle w:val="20"/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3" w:firstLineChars="275"/>
        <w:jc w:val="both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43815</wp:posOffset>
                </wp:positionV>
                <wp:extent cx="6120765" cy="18415"/>
                <wp:effectExtent l="0" t="0" r="0" b="0"/>
                <wp:wrapTopAndBottom/>
                <wp:docPr id="22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76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18415">
                              <a:moveTo>
                                <a:pt x="6120765" y="18287"/>
                              </a:moveTo>
                              <a:lnTo>
                                <a:pt x="0" y="18287"/>
                              </a:lnTo>
                              <a:lnTo>
                                <a:pt x="0" y="0"/>
                              </a:lnTo>
                              <a:lnTo>
                                <a:pt x="6120765" y="0"/>
                              </a:lnTo>
                              <a:lnTo>
                                <a:pt x="6120765" y="18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o:spt="100" style="position:absolute;left:0pt;margin-left:78pt;margin-top:3.45pt;height:1.45pt;width:481.95pt;mso-position-horizontal-relative:page;mso-wrap-distance-bottom:0pt;mso-wrap-distance-top:0pt;z-index:-251655168;mso-width-relative:page;mso-height-relative:page;" fillcolor="#000000" filled="t" stroked="f" coordsize="6120765,18415" o:gfxdata="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AIcAWY1QAA&#10;AAgBAAAPAAAAAAAAAAEAIAAAACIAAABkcnMvZG93bnJldi54bWxQSwECFAAUAAAACACHTuJAXAFq&#10;ESECAADmBAAADgAAAAAAAAABACAAAAAkAQAAZHJzL2Uyb0RvYy54bWxQSwUGAAAAAAYABgBZAQAA&#10;twUAAAAA&#10;" path="m6120765,18287l0,18287,0,0,6120765,0,6120765,18287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rFonts w:hint="default" w:ascii="Times New Roman" w:hAnsi="Times New Roman" w:cs="Times New Roman"/>
          <w:b/>
          <w:sz w:val="24"/>
          <w:szCs w:val="24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990600</wp:posOffset>
            </wp:positionH>
            <wp:positionV relativeFrom="paragraph">
              <wp:posOffset>199390</wp:posOffset>
            </wp:positionV>
            <wp:extent cx="6079490" cy="7134860"/>
            <wp:effectExtent l="0" t="0" r="16510" b="8890"/>
            <wp:wrapTopAndBottom/>
            <wp:docPr id="23" name="Imag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9757" cy="7134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737924">
      <w:pPr>
        <w:pStyle w:val="20"/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3" w:firstLineChars="275"/>
        <w:jc w:val="both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</w:p>
    <w:p w14:paraId="088F8BB2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Рисунок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6.1.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-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Обзорная карта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района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размещения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объекта</w:t>
      </w:r>
    </w:p>
    <w:p w14:paraId="259CE454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  <w:sectPr>
          <w:pgSz w:w="11910" w:h="16870"/>
          <w:pgMar w:top="600" w:right="141" w:bottom="880" w:left="1275" w:header="0" w:footer="691" w:gutter="0"/>
          <w:cols w:space="720" w:num="1"/>
        </w:sectPr>
      </w:pPr>
    </w:p>
    <w:p w14:paraId="34BCEB2B">
      <w:pPr>
        <w:pStyle w:val="20"/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3" w:firstLineChars="275"/>
        <w:jc w:val="both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</w:p>
    <w:p w14:paraId="302FCF94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3" w:firstLineChars="275"/>
        <w:jc w:val="both"/>
        <w:textAlignment w:val="auto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Таблица</w:t>
      </w:r>
      <w:r>
        <w:rPr>
          <w:rFonts w:hint="default" w:ascii="Times New Roman" w:hAnsi="Times New Roman" w:cs="Times New Roman"/>
          <w:b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3.5.1</w:t>
      </w:r>
      <w:r>
        <w:rPr>
          <w:rFonts w:hint="default" w:ascii="Times New Roman" w:hAnsi="Times New Roman" w:cs="Times New Roman"/>
          <w:b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–</w:t>
      </w:r>
      <w:r>
        <w:rPr>
          <w:rFonts w:hint="default" w:ascii="Times New Roman" w:hAnsi="Times New Roman" w:cs="Times New Roman"/>
          <w:b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Характеристика</w:t>
      </w:r>
      <w:r>
        <w:rPr>
          <w:rFonts w:hint="default" w:ascii="Times New Roman" w:hAnsi="Times New Roman" w:cs="Times New Roman"/>
          <w:b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фонда</w:t>
      </w:r>
      <w:r>
        <w:rPr>
          <w:rFonts w:hint="default" w:ascii="Times New Roman" w:hAnsi="Times New Roman" w:cs="Times New Roman"/>
          <w:b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скважин</w:t>
      </w:r>
      <w:r>
        <w:rPr>
          <w:rFonts w:hint="default" w:ascii="Times New Roman" w:hAnsi="Times New Roman" w:cs="Times New Roman"/>
          <w:b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месторождения</w:t>
      </w:r>
      <w:r>
        <w:rPr>
          <w:rFonts w:hint="default" w:ascii="Times New Roman" w:hAnsi="Times New Roman" w:cs="Times New Roman"/>
          <w:b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Сулутабан</w:t>
      </w:r>
      <w:r>
        <w:rPr>
          <w:rFonts w:hint="default" w:ascii="Times New Roman" w:hAnsi="Times New Roman" w:cs="Times New Roman"/>
          <w:b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на 2027 год</w:t>
      </w:r>
    </w:p>
    <w:tbl>
      <w:tblPr>
        <w:tblStyle w:val="12"/>
        <w:tblW w:w="0" w:type="auto"/>
        <w:tblInd w:w="182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1"/>
        <w:gridCol w:w="5916"/>
        <w:gridCol w:w="2906"/>
        <w:gridCol w:w="434"/>
      </w:tblGrid>
      <w:tr w14:paraId="413DCC4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49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37EF62">
            <w:pPr>
              <w:pStyle w:val="165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05" w:firstLineChars="275"/>
              <w:jc w:val="both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591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C12CC3">
            <w:pPr>
              <w:pStyle w:val="165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49" w:firstLineChars="275"/>
              <w:jc w:val="both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</w:rPr>
              <w:t>Наименование</w:t>
            </w:r>
          </w:p>
        </w:tc>
        <w:tc>
          <w:tcPr>
            <w:tcW w:w="290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FB79C8">
            <w:pPr>
              <w:pStyle w:val="165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0" w:firstLineChars="275"/>
              <w:jc w:val="both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В целом по </w:t>
            </w: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</w:rPr>
              <w:t>месторождению</w:t>
            </w:r>
          </w:p>
        </w:tc>
        <w:tc>
          <w:tcPr>
            <w:tcW w:w="43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</w:tcPr>
          <w:p w14:paraId="1F92BAD1">
            <w:pPr>
              <w:pStyle w:val="165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0" w:firstLineChars="275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08E374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580520">
            <w:pPr>
              <w:pStyle w:val="165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05" w:firstLineChars="275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5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61E812">
            <w:pPr>
              <w:pStyle w:val="165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0" w:firstLineChars="275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Эксплуатационный</w:t>
            </w:r>
            <w:r>
              <w:rPr>
                <w:rFonts w:hint="default"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фонд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скважин,</w:t>
            </w:r>
            <w:r>
              <w:rPr>
                <w:rFonts w:hint="default"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F6C376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rightChars="0" w:firstLine="663" w:firstLineChars="275"/>
              <w:jc w:val="both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highlight w:val="green"/>
                <w:lang w:val="en-US" w:eastAsia="en-US"/>
              </w:rPr>
              <w:t>9</w:t>
            </w:r>
          </w:p>
        </w:tc>
        <w:tc>
          <w:tcPr>
            <w:tcW w:w="43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</w:tcPr>
          <w:p w14:paraId="4821ADC2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0" w:firstLineChars="275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134491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7461B5">
            <w:pPr>
              <w:pStyle w:val="165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05" w:firstLineChars="275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5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5351C5">
            <w:pPr>
              <w:pStyle w:val="165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0" w:firstLineChars="275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Действующий</w:t>
            </w:r>
            <w:r>
              <w:rPr>
                <w:rFonts w:hint="default"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фонд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2F9047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rightChars="0" w:firstLine="663" w:firstLineChars="275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highlight w:val="green"/>
                <w:lang w:val="en-US" w:eastAsia="en-US"/>
              </w:rPr>
              <w:t>8</w:t>
            </w:r>
          </w:p>
        </w:tc>
        <w:tc>
          <w:tcPr>
            <w:tcW w:w="43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</w:tcPr>
          <w:p w14:paraId="3612A8F8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0" w:firstLineChars="275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6AEDBB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20B513">
            <w:pPr>
              <w:pStyle w:val="165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05" w:firstLineChars="275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5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9A2E6B">
            <w:pPr>
              <w:pStyle w:val="165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0" w:firstLineChars="275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Простои</w:t>
            </w:r>
            <w:r>
              <w:rPr>
                <w:rFonts w:hint="default"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действующего</w:t>
            </w:r>
            <w:r>
              <w:rPr>
                <w:rFonts w:hint="default"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фонда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642C1A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rightChars="0" w:firstLine="660" w:firstLineChars="275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green"/>
                <w:lang w:val="en-US" w:eastAsia="en-US"/>
              </w:rPr>
              <w:t>2</w:t>
            </w:r>
          </w:p>
        </w:tc>
        <w:tc>
          <w:tcPr>
            <w:tcW w:w="43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</w:tcPr>
          <w:p w14:paraId="7EF01ABF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0" w:firstLineChars="275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2685FE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FACB4E">
            <w:pPr>
              <w:pStyle w:val="165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05" w:firstLineChars="275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5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015723">
            <w:pPr>
              <w:pStyle w:val="165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49" w:firstLineChars="275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Бездействующий</w:t>
            </w:r>
            <w:r>
              <w:rPr>
                <w:rFonts w:hint="default"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фонд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AA5167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rightChars="0" w:firstLine="660" w:firstLineChars="275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green"/>
                <w:lang w:eastAsia="en-US"/>
              </w:rPr>
              <w:t>0</w:t>
            </w:r>
          </w:p>
        </w:tc>
        <w:tc>
          <w:tcPr>
            <w:tcW w:w="43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</w:tcPr>
          <w:p w14:paraId="5964B915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0" w:firstLineChars="275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9FC270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3E91F3">
            <w:pPr>
              <w:pStyle w:val="165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05" w:firstLineChars="275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5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724D17">
            <w:pPr>
              <w:pStyle w:val="165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0" w:firstLineChars="275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освоении,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ожидание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освоения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EDCE89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rightChars="0" w:firstLine="663" w:firstLineChars="275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highlight w:val="green"/>
                <w:lang w:val="en-US" w:eastAsia="en-US"/>
              </w:rPr>
              <w:t>0</w:t>
            </w:r>
          </w:p>
        </w:tc>
        <w:tc>
          <w:tcPr>
            <w:tcW w:w="43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</w:tcPr>
          <w:p w14:paraId="29A655E5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0" w:firstLineChars="275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338E39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1E26C6">
            <w:pPr>
              <w:pStyle w:val="165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05" w:firstLineChars="275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5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E4C72C">
            <w:pPr>
              <w:pStyle w:val="165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49" w:firstLineChars="275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Нагнетательный</w:t>
            </w:r>
            <w:r>
              <w:rPr>
                <w:rFonts w:hint="default"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фонд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40D4E2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rightChars="0" w:firstLine="660" w:firstLineChars="275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green"/>
                <w:lang w:eastAsia="en-US"/>
              </w:rPr>
              <w:t>0</w:t>
            </w:r>
          </w:p>
        </w:tc>
        <w:tc>
          <w:tcPr>
            <w:tcW w:w="43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</w:tcPr>
          <w:p w14:paraId="6CB89860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0" w:firstLineChars="275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5FA12B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33DF0E">
            <w:pPr>
              <w:pStyle w:val="165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05" w:firstLineChars="275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5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BDAD3D">
            <w:pPr>
              <w:pStyle w:val="165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49" w:firstLineChars="275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Наблюдательный</w:t>
            </w:r>
            <w:r>
              <w:rPr>
                <w:rFonts w:hint="default"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фонд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1E6B70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rightChars="0" w:firstLine="660" w:firstLineChars="275"/>
              <w:jc w:val="both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green"/>
                <w:lang w:eastAsia="en-US"/>
              </w:rPr>
              <w:t>0</w:t>
            </w:r>
          </w:p>
        </w:tc>
        <w:tc>
          <w:tcPr>
            <w:tcW w:w="43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</w:tcPr>
          <w:p w14:paraId="3A6BA665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0" w:firstLineChars="275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A09BC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B74DCC">
            <w:pPr>
              <w:pStyle w:val="165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05" w:firstLineChars="275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5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7E1A49">
            <w:pPr>
              <w:pStyle w:val="165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49" w:firstLineChars="275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Водозаборный</w:t>
            </w:r>
            <w:r>
              <w:rPr>
                <w:rFonts w:hint="default"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фонд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32B108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rightChars="0" w:firstLine="660" w:firstLineChars="275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green"/>
                <w:lang w:eastAsia="en-US"/>
              </w:rPr>
              <w:t>0</w:t>
            </w:r>
          </w:p>
        </w:tc>
        <w:tc>
          <w:tcPr>
            <w:tcW w:w="43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</w:tcPr>
          <w:p w14:paraId="78186249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0" w:firstLineChars="275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6305B9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C6B0D4">
            <w:pPr>
              <w:pStyle w:val="165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05" w:firstLineChars="275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5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307940">
            <w:pPr>
              <w:pStyle w:val="165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49" w:firstLineChars="275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Ликвидированный</w:t>
            </w:r>
            <w:r>
              <w:rPr>
                <w:rFonts w:hint="default"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фонд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1187AF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rightChars="0" w:firstLine="660" w:firstLineChars="275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green"/>
                <w:lang w:eastAsia="en-US"/>
              </w:rPr>
              <w:t>0</w:t>
            </w:r>
          </w:p>
        </w:tc>
        <w:tc>
          <w:tcPr>
            <w:tcW w:w="43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</w:tcPr>
          <w:p w14:paraId="05BF6665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0" w:firstLineChars="275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F7F488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F3A3B0">
            <w:pPr>
              <w:pStyle w:val="165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32" w:firstLineChars="275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5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9F79E3">
            <w:pPr>
              <w:pStyle w:val="165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0" w:firstLineChars="275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Специальный</w:t>
            </w:r>
            <w:r>
              <w:rPr>
                <w:rFonts w:hint="default"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фонд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0B6D36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rightChars="0" w:firstLine="660" w:firstLineChars="275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green"/>
                <w:lang w:eastAsia="en-US"/>
              </w:rPr>
              <w:t>0</w:t>
            </w:r>
          </w:p>
        </w:tc>
        <w:tc>
          <w:tcPr>
            <w:tcW w:w="43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</w:tcPr>
          <w:p w14:paraId="36BB79E3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0" w:firstLineChars="275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9523FB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B008D9">
            <w:pPr>
              <w:pStyle w:val="165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32" w:firstLineChars="275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5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9313B3">
            <w:pPr>
              <w:pStyle w:val="165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0" w:firstLineChars="275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консервации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0DF969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rightChars="0" w:firstLine="663" w:firstLineChars="275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highlight w:val="green"/>
                <w:lang w:val="en-US" w:eastAsia="en-US"/>
              </w:rPr>
              <w:t>1 (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highlight w:val="green"/>
                <w:lang w:eastAsia="en-US"/>
              </w:rPr>
              <w:t>КМ-21)</w:t>
            </w:r>
          </w:p>
        </w:tc>
        <w:tc>
          <w:tcPr>
            <w:tcW w:w="43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</w:tcPr>
          <w:p w14:paraId="4BE6ECBE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0" w:firstLineChars="275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 w14:paraId="288D0227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374" w:rightChars="170" w:firstLine="663" w:firstLineChars="275"/>
        <w:jc w:val="both"/>
        <w:textAlignment w:val="auto"/>
        <w:rPr>
          <w:rFonts w:hint="default" w:ascii="Times New Roman" w:hAnsi="Times New Roman" w:cs="Times New Roman"/>
          <w:b/>
          <w:i/>
          <w:sz w:val="24"/>
          <w:szCs w:val="24"/>
        </w:rPr>
      </w:pPr>
      <w:r>
        <w:rPr>
          <w:rFonts w:hint="default" w:ascii="Times New Roman" w:hAnsi="Times New Roman" w:cs="Times New Roman"/>
          <w:b/>
          <w:i/>
          <w:sz w:val="24"/>
          <w:szCs w:val="24"/>
        </w:rPr>
        <w:t>Состав</w:t>
      </w:r>
      <w:r>
        <w:rPr>
          <w:rFonts w:hint="default"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i/>
          <w:sz w:val="24"/>
          <w:szCs w:val="24"/>
        </w:rPr>
        <w:t>и</w:t>
      </w:r>
      <w:r>
        <w:rPr>
          <w:rFonts w:hint="default"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i/>
          <w:sz w:val="24"/>
          <w:szCs w:val="24"/>
        </w:rPr>
        <w:t>свойства</w:t>
      </w:r>
      <w:r>
        <w:rPr>
          <w:rFonts w:hint="default"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i/>
          <w:sz w:val="24"/>
          <w:szCs w:val="24"/>
        </w:rPr>
        <w:t>растворённого</w:t>
      </w:r>
      <w:r>
        <w:rPr>
          <w:rFonts w:hint="default"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i/>
          <w:spacing w:val="-4"/>
          <w:sz w:val="24"/>
          <w:szCs w:val="24"/>
        </w:rPr>
        <w:t>газа</w:t>
      </w:r>
    </w:p>
    <w:p w14:paraId="3F6FE589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374" w:rightChars="17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результате проведения термодинамических исследований были определены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основные свойства пластовой нефти: давление насыщения, газосодержание, объёмный коэффициент, вязкость и плотность пластовой нефти, усадка, коэффициенты сжимаемости и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растворимости.</w:t>
      </w:r>
    </w:p>
    <w:p w14:paraId="5560358F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374" w:rightChars="17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Физико-химические свойства пластовой нефти изучены по результатам исследований 4 проб, из них 2 пробы в скважине КМ-8 и по одной пробе в скважинах КМ-8_2 и КМ-21_1. Ввиду значительных расхождений и неоднозначных результатов анализов проб пластовой нефти по скважине КМ-8 от результатов анализов как пластовых, так и устьевых проб из новых пробуренных оценочных скважин, данные пробы пластовой нефти вызывают сомнение и были отбракованы.</w:t>
      </w:r>
    </w:p>
    <w:p w14:paraId="37282C20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374" w:rightChars="17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 результатам анализов плотность пластовой нефти в среднем равна 0,77 г/см</w:t>
      </w:r>
      <w:r>
        <w:rPr>
          <w:rFonts w:hint="default" w:ascii="Times New Roman" w:hAnsi="Times New Roman" w:cs="Times New Roman"/>
          <w:position w:val="8"/>
          <w:sz w:val="24"/>
          <w:szCs w:val="24"/>
        </w:rPr>
        <w:t>3</w:t>
      </w:r>
      <w:r>
        <w:rPr>
          <w:rFonts w:hint="default" w:ascii="Times New Roman" w:hAnsi="Times New Roman" w:cs="Times New Roman"/>
          <w:sz w:val="24"/>
          <w:szCs w:val="24"/>
        </w:rPr>
        <w:t>, вязкость – 4,25 мПа*с.</w:t>
      </w:r>
    </w:p>
    <w:p w14:paraId="02D0DB06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374" w:rightChars="17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Давление насыщения изменяется в пределах 0,12-1,4 МПа, газосодержание – 0,445-0,458 м</w:t>
      </w:r>
      <w:r>
        <w:rPr>
          <w:rFonts w:hint="default" w:ascii="Times New Roman" w:hAnsi="Times New Roman" w:cs="Times New Roman"/>
          <w:position w:val="8"/>
          <w:sz w:val="24"/>
          <w:szCs w:val="24"/>
        </w:rPr>
        <w:t>3</w:t>
      </w:r>
      <w:r>
        <w:rPr>
          <w:rFonts w:hint="default" w:ascii="Times New Roman" w:hAnsi="Times New Roman" w:cs="Times New Roman"/>
          <w:sz w:val="24"/>
          <w:szCs w:val="24"/>
        </w:rPr>
        <w:t>/т, объемный коэффициент – 1,047-1,049 доли ед., в среднем составляет 1,048. Температура пласта в пределах 30ºC. По плотности нефть относится к легким, маловязким.</w:t>
      </w:r>
    </w:p>
    <w:p w14:paraId="0E9873DA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374" w:rightChars="17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районе размещения объекта и на прилегающей территории не расположены зоны заповедников, музеев, памятников архитектуры и т.п.</w:t>
      </w:r>
    </w:p>
    <w:p w14:paraId="5404B2F6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374" w:rightChars="17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/>
          <w:sz w:val="24"/>
          <w:szCs w:val="24"/>
          <w:u w:val="single"/>
        </w:rPr>
        <w:t>Водоснабжения.</w:t>
      </w:r>
      <w:r>
        <w:rPr>
          <w:rFonts w:hint="default"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Питьевая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вода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-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привозная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бутилированная.</w:t>
      </w:r>
    </w:p>
    <w:p w14:paraId="77A75D69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374" w:rightChars="17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/>
          <w:sz w:val="24"/>
          <w:szCs w:val="24"/>
          <w:u w:val="single"/>
        </w:rPr>
        <w:t>Водоотведение.</w:t>
      </w:r>
      <w:r>
        <w:rPr>
          <w:rFonts w:hint="default" w:ascii="Times New Roman" w:hAnsi="Times New Roman" w:cs="Times New Roman"/>
          <w:i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Хозяйственно-бытовые сточные воды отводятся по самотечной сети в приемные отделения септик с насосной установкой. По мере его наполнения стоки будут откачиваться, и вывозиться вакуумными автоцистернами на канализационную систему близлежащего населенного пункта по договору.</w:t>
      </w:r>
    </w:p>
    <w:p w14:paraId="19341E8F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374" w:rightChars="17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/>
          <w:sz w:val="24"/>
          <w:szCs w:val="24"/>
          <w:u w:val="single"/>
        </w:rPr>
        <w:t xml:space="preserve">Источники электроснабжения </w:t>
      </w:r>
      <w:r>
        <w:rPr>
          <w:rFonts w:hint="default" w:ascii="Times New Roman" w:hAnsi="Times New Roman" w:cs="Times New Roman"/>
          <w:sz w:val="24"/>
          <w:szCs w:val="24"/>
        </w:rPr>
        <w:t>отсутствуют. Электроснабжение и теплоснабжение обеспечивается автономными электростанциями, работающими на диз.топливе.</w:t>
      </w:r>
    </w:p>
    <w:p w14:paraId="53184377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374" w:rightChars="170" w:firstLine="660" w:firstLineChars="275"/>
        <w:jc w:val="both"/>
        <w:textAlignment w:val="auto"/>
        <w:rPr>
          <w:rFonts w:hint="default" w:ascii="Times New Roman" w:hAnsi="Times New Roman" w:cs="Times New Roman"/>
          <w:i/>
          <w:sz w:val="24"/>
          <w:szCs w:val="24"/>
        </w:rPr>
      </w:pPr>
      <w:r>
        <w:rPr>
          <w:rFonts w:hint="default" w:ascii="Times New Roman" w:hAnsi="Times New Roman" w:cs="Times New Roman"/>
          <w:i/>
          <w:sz w:val="24"/>
          <w:szCs w:val="24"/>
          <w:u w:val="single"/>
        </w:rPr>
        <w:t>Питание,</w:t>
      </w:r>
      <w:r>
        <w:rPr>
          <w:rFonts w:hint="default" w:ascii="Times New Roman" w:hAnsi="Times New Roman" w:cs="Times New Roman"/>
          <w:i/>
          <w:spacing w:val="-4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  <w:u w:val="single"/>
        </w:rPr>
        <w:t>обслуживание,</w:t>
      </w:r>
      <w:r>
        <w:rPr>
          <w:rFonts w:hint="default" w:ascii="Times New Roman" w:hAnsi="Times New Roman" w:cs="Times New Roman"/>
          <w:i/>
          <w:spacing w:val="-3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pacing w:val="-2"/>
          <w:sz w:val="24"/>
          <w:szCs w:val="24"/>
          <w:u w:val="single"/>
        </w:rPr>
        <w:t>проживание</w:t>
      </w:r>
    </w:p>
    <w:p w14:paraId="6B4F9644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374" w:rightChars="17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Питание, обслуживание, проживание рабочего персонала предусматривается на территории существующего вахтового поселка</w:t>
      </w:r>
    </w:p>
    <w:p w14:paraId="19656303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374" w:rightChars="17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/>
          <w:sz w:val="24"/>
          <w:szCs w:val="24"/>
          <w:u w:val="single"/>
        </w:rPr>
        <w:t>Режим</w:t>
      </w:r>
      <w:r>
        <w:rPr>
          <w:rFonts w:hint="default" w:ascii="Times New Roman" w:hAnsi="Times New Roman" w:cs="Times New Roman"/>
          <w:i/>
          <w:spacing w:val="-3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  <w:u w:val="single"/>
        </w:rPr>
        <w:t>работы и</w:t>
      </w:r>
      <w:r>
        <w:rPr>
          <w:rFonts w:hint="default" w:ascii="Times New Roman" w:hAnsi="Times New Roman" w:cs="Times New Roman"/>
          <w:i/>
          <w:spacing w:val="-3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  <w:u w:val="single"/>
        </w:rPr>
        <w:t>численность</w:t>
      </w:r>
      <w:r>
        <w:rPr>
          <w:rFonts w:hint="default" w:ascii="Times New Roman" w:hAnsi="Times New Roman" w:cs="Times New Roman"/>
          <w:i/>
          <w:spacing w:val="-2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  <w:u w:val="single"/>
        </w:rPr>
        <w:t>персонала.</w:t>
      </w:r>
      <w:r>
        <w:rPr>
          <w:rFonts w:hint="default"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месторождении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Сулутабан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режим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работы – 24 часа/сутки, круглогодично. Скважины обслуживаются согласно утвержденному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графику вахтовым методом.</w:t>
      </w:r>
    </w:p>
    <w:p w14:paraId="43D6908C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374" w:rightChars="17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  <w:sectPr>
          <w:pgSz w:w="11910" w:h="16870"/>
          <w:pgMar w:top="600" w:right="141" w:bottom="880" w:left="1275" w:header="0" w:footer="691" w:gutter="0"/>
          <w:cols w:space="720" w:num="1"/>
        </w:sectPr>
      </w:pPr>
    </w:p>
    <w:p w14:paraId="764E0546">
      <w:pPr>
        <w:pStyle w:val="166"/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Обустройство месторождения Сулутабан разделено на два этапа. Первым этапом строительства предусмотрено строительство площадок скважин для добычи одиночным способом.</w:t>
      </w:r>
    </w:p>
    <w:p w14:paraId="2A2D4F88">
      <w:pPr>
        <w:pStyle w:val="166"/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Объем обустройства скважин на первом этапе состоит в следующем: </w:t>
      </w:r>
    </w:p>
    <w:p w14:paraId="2750ED0C">
      <w:pPr>
        <w:pStyle w:val="166"/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печь подогрева нефти УП-0,2/электрическая (в зависимости от газового фактора скважины) – 1 шт;</w:t>
      </w:r>
    </w:p>
    <w:p w14:paraId="66A2BAA0">
      <w:pPr>
        <w:pStyle w:val="166"/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резервуар хранения нефти РГС 50 м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hint="default" w:ascii="Times New Roman" w:hAnsi="Times New Roman" w:cs="Times New Roman"/>
          <w:sz w:val="24"/>
          <w:szCs w:val="24"/>
        </w:rPr>
        <w:t xml:space="preserve"> – 2 шт;</w:t>
      </w:r>
    </w:p>
    <w:p w14:paraId="0BDE8117">
      <w:pPr>
        <w:pStyle w:val="166"/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дренажная емкость 50 м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hint="default" w:ascii="Times New Roman" w:hAnsi="Times New Roman" w:cs="Times New Roman"/>
          <w:sz w:val="24"/>
          <w:szCs w:val="24"/>
        </w:rPr>
        <w:t xml:space="preserve"> – 1 шт;</w:t>
      </w:r>
    </w:p>
    <w:p w14:paraId="720B1795">
      <w:pPr>
        <w:pStyle w:val="166"/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насос перекачки нефти – 2 шт;</w:t>
      </w:r>
    </w:p>
    <w:p w14:paraId="2E94B33B">
      <w:pPr>
        <w:pStyle w:val="166"/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узел налива нефти – 1 шт;</w:t>
      </w:r>
    </w:p>
    <w:p w14:paraId="19AC9AE7">
      <w:pPr>
        <w:pStyle w:val="166"/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операторная с блоком связи -1 шт;</w:t>
      </w:r>
    </w:p>
    <w:p w14:paraId="0DBF59CD">
      <w:pPr>
        <w:pStyle w:val="167"/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 w:eastAsiaTheme="minorHAnsi"/>
          <w:color w:val="000000"/>
          <w:sz w:val="24"/>
          <w:szCs w:val="24"/>
          <w:lang w:eastAsia="en-US"/>
        </w:rPr>
        <w:t>- ДЭС</w:t>
      </w:r>
      <w:r>
        <w:rPr>
          <w:rFonts w:hint="default" w:ascii="Times New Roman" w:hAnsi="Times New Roman" w:cs="Times New Roman"/>
          <w:sz w:val="24"/>
          <w:szCs w:val="24"/>
        </w:rPr>
        <w:t xml:space="preserve"> - 1шт.</w:t>
      </w:r>
    </w:p>
    <w:p w14:paraId="1C207691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eastAsia="Calibri" w:cs="Times New Roman"/>
          <w:sz w:val="24"/>
          <w:szCs w:val="24"/>
        </w:rPr>
      </w:pPr>
    </w:p>
    <w:p w14:paraId="4D47D3DC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0" distR="0">
            <wp:extent cx="6300470" cy="2572385"/>
            <wp:effectExtent l="0" t="0" r="5080" b="18415"/>
            <wp:docPr id="1109537324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537324" name="Рисунок 1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57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D48B2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eastAsia="Calibri" w:cs="Times New Roman"/>
          <w:sz w:val="24"/>
          <w:szCs w:val="24"/>
        </w:rPr>
      </w:pPr>
    </w:p>
    <w:p w14:paraId="3DB982E0">
      <w:pPr>
        <w:pStyle w:val="167"/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Вторым этапом обустройства предусмотрено строительство площадки пункт сбора нефти (ПСН), строительство выкидных линий от скважин до площадки пункта сбора нефти с подключением на манифольд.</w:t>
      </w:r>
    </w:p>
    <w:p w14:paraId="10DEA8AA">
      <w:pPr>
        <w:pStyle w:val="167"/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Объем работ по обустройству на втором этапе, дополнение к первому этапу: </w:t>
      </w:r>
    </w:p>
    <w:p w14:paraId="48F93AB4">
      <w:pPr>
        <w:pStyle w:val="166"/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-манифольд на 16 подключений -1шт; </w:t>
      </w:r>
    </w:p>
    <w:p w14:paraId="1C4DE708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-блок дозирования реагентов - 1шт;</w:t>
      </w:r>
    </w:p>
    <w:p w14:paraId="73A4D700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-печь для подогрева (скоростной подогреватель электрический) - 1шт;</w:t>
      </w:r>
    </w:p>
    <w:p w14:paraId="15D90494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-отстойник нефти 50м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hint="default" w:ascii="Times New Roman" w:hAnsi="Times New Roman" w:cs="Times New Roman"/>
          <w:sz w:val="24"/>
          <w:szCs w:val="24"/>
        </w:rPr>
        <w:t xml:space="preserve"> - 3шт;</w:t>
      </w:r>
    </w:p>
    <w:p w14:paraId="419152B2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-дренажная емкость – 1шт;</w:t>
      </w:r>
    </w:p>
    <w:p w14:paraId="7F1E4197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-насос для перекачки нефтепродуктов – 4шт;</w:t>
      </w:r>
    </w:p>
    <w:p w14:paraId="46C73045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-резервуары для хранения нефти РГС 50м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hint="default" w:ascii="Times New Roman" w:hAnsi="Times New Roman" w:cs="Times New Roman"/>
          <w:sz w:val="24"/>
          <w:szCs w:val="24"/>
        </w:rPr>
        <w:t xml:space="preserve"> - 5шт;</w:t>
      </w:r>
    </w:p>
    <w:p w14:paraId="6293AEFD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-емкость пластовой воды – 1шт;</w:t>
      </w:r>
    </w:p>
    <w:p w14:paraId="56AD1DA4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-гусак для слива нефтепродукта - 1шт;</w:t>
      </w:r>
    </w:p>
    <w:p w14:paraId="4A56EE79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-операторная - 3шт;</w:t>
      </w:r>
    </w:p>
    <w:p w14:paraId="04078641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-блок связи 1шт;</w:t>
      </w:r>
    </w:p>
    <w:p w14:paraId="2FB62D7A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-ДЭС - 1шт;</w:t>
      </w:r>
    </w:p>
    <w:p w14:paraId="7AFB6E32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-КТПН - 1шт.</w:t>
      </w:r>
    </w:p>
    <w:p w14:paraId="0BD374FA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Так же на втором этапе обустройства предусмотрено строительство ВЛ-10кВ для электроснабжения месторождения электричеством от генераторов собственных нужд</w:t>
      </w:r>
    </w:p>
    <w:p w14:paraId="5556B3EE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3" w:firstLineChars="275"/>
        <w:jc w:val="both"/>
        <w:textAlignment w:val="auto"/>
        <w:rPr>
          <w:rFonts w:hint="default" w:ascii="Times New Roman" w:hAnsi="Times New Roman" w:cs="Times New Roman"/>
          <w:b/>
          <w:color w:val="000000"/>
          <w:sz w:val="24"/>
          <w:szCs w:val="24"/>
        </w:rPr>
      </w:pPr>
      <w:bookmarkStart w:id="0" w:name="_Toc76224899"/>
    </w:p>
    <w:p w14:paraId="7197103D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3" w:firstLineChars="275"/>
        <w:jc w:val="both"/>
        <w:textAlignment w:val="auto"/>
        <w:rPr>
          <w:rFonts w:hint="default" w:ascii="Times New Roman" w:hAnsi="Times New Roman" w:cs="Times New Roman"/>
          <w:b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000000"/>
          <w:sz w:val="24"/>
          <w:szCs w:val="24"/>
        </w:rPr>
        <w:t>3.10 Динамика изменения переработки/утилизации сырого газа на месторождении (за последние 5 лет)</w:t>
      </w:r>
      <w:bookmarkEnd w:id="0"/>
    </w:p>
    <w:p w14:paraId="4B56EDEB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таблице 3.10.1 представлена динамика утилизации сырого газа за последние 5 лет.</w:t>
      </w:r>
    </w:p>
    <w:p w14:paraId="60F23C31">
      <w:pPr>
        <w:pageBreakBefore w:val="0"/>
        <w:widowControl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3" w:firstLineChars="275"/>
        <w:jc w:val="both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  <w:bookmarkStart w:id="1" w:name="_Toc36825786"/>
    </w:p>
    <w:p w14:paraId="47FC0C40">
      <w:pPr>
        <w:pageBreakBefore w:val="0"/>
        <w:widowControl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3" w:firstLineChars="275"/>
        <w:jc w:val="both"/>
        <w:textAlignment w:val="auto"/>
        <w:rPr>
          <w:rFonts w:hint="default" w:ascii="Times New Roman" w:hAnsi="Times New Roman" w:cs="Times New Roman"/>
          <w:b/>
          <w:sz w:val="24"/>
          <w:szCs w:val="24"/>
          <w:highlight w:val="green"/>
        </w:rPr>
      </w:pPr>
      <w:r>
        <w:rPr>
          <w:rFonts w:hint="default" w:ascii="Times New Roman" w:hAnsi="Times New Roman" w:cs="Times New Roman"/>
          <w:b/>
          <w:sz w:val="24"/>
          <w:szCs w:val="24"/>
          <w:highlight w:val="green"/>
        </w:rPr>
        <w:t xml:space="preserve">Таблица 3.10.1 - </w:t>
      </w:r>
      <w:bookmarkEnd w:id="1"/>
      <w:r>
        <w:rPr>
          <w:rFonts w:hint="default" w:ascii="Times New Roman" w:hAnsi="Times New Roman" w:cs="Times New Roman"/>
          <w:b/>
          <w:sz w:val="24"/>
          <w:szCs w:val="24"/>
          <w:highlight w:val="green"/>
        </w:rPr>
        <w:t xml:space="preserve">Переработка и утилизация сырого газа на месторождении </w:t>
      </w:r>
      <w:r>
        <w:rPr>
          <w:rFonts w:hint="default" w:ascii="Times New Roman" w:hAnsi="Times New Roman" w:cs="Times New Roman"/>
          <w:b/>
          <w:sz w:val="24"/>
          <w:szCs w:val="24"/>
          <w:highlight w:val="green"/>
        </w:rPr>
        <w:br w:type="textWrapping"/>
      </w:r>
      <w:r>
        <w:rPr>
          <w:rFonts w:hint="default" w:ascii="Times New Roman" w:hAnsi="Times New Roman" w:cs="Times New Roman"/>
          <w:b/>
          <w:sz w:val="24"/>
          <w:szCs w:val="24"/>
          <w:highlight w:val="green"/>
        </w:rPr>
        <w:t>за последние 5 лет.</w:t>
      </w:r>
    </w:p>
    <w:tbl>
      <w:tblPr>
        <w:tblStyle w:val="12"/>
        <w:tblW w:w="5006" w:type="pc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4"/>
        <w:gridCol w:w="944"/>
        <w:gridCol w:w="1368"/>
        <w:gridCol w:w="1368"/>
        <w:gridCol w:w="1369"/>
        <w:gridCol w:w="1368"/>
        <w:gridCol w:w="1369"/>
      </w:tblGrid>
      <w:tr w14:paraId="28866B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B6ED508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3" w:firstLineChars="275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green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green"/>
                <w:lang w:eastAsia="en-US"/>
              </w:rPr>
              <w:t>Наименование</w:t>
            </w:r>
          </w:p>
          <w:p w14:paraId="55EF6F51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3" w:firstLineChars="275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green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green"/>
                <w:lang w:eastAsia="en-US"/>
              </w:rPr>
              <w:t> </w:t>
            </w:r>
          </w:p>
        </w:tc>
        <w:tc>
          <w:tcPr>
            <w:tcW w:w="868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D8E6757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3" w:firstLineChars="275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green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green"/>
                <w:lang w:eastAsia="en-US"/>
              </w:rPr>
              <w:t>ед.изм</w:t>
            </w:r>
          </w:p>
          <w:p w14:paraId="3B1F6A8B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3" w:firstLineChars="275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green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green"/>
                <w:lang w:eastAsia="en-US"/>
              </w:rPr>
              <w:t> </w:t>
            </w:r>
          </w:p>
        </w:tc>
        <w:tc>
          <w:tcPr>
            <w:tcW w:w="629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472C97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3" w:firstLineChars="275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green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green"/>
                <w:lang w:eastAsia="en-US"/>
              </w:rPr>
              <w:t>Года</w:t>
            </w:r>
          </w:p>
        </w:tc>
      </w:tr>
      <w:tr w14:paraId="51D80E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D24FDD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3" w:firstLineChars="275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86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4EB324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3" w:firstLineChars="275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E5B8B7" w:themeFill="accent2" w:themeFillTint="66"/>
            <w:noWrap/>
            <w:vAlign w:val="center"/>
          </w:tcPr>
          <w:p w14:paraId="683B4E75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3" w:firstLineChars="275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green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green"/>
                <w:lang w:eastAsia="en-US"/>
              </w:rPr>
              <w:t>2022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E5B8B7" w:themeFill="accent2" w:themeFillTint="66"/>
            <w:noWrap/>
            <w:vAlign w:val="center"/>
          </w:tcPr>
          <w:p w14:paraId="463DCB4D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3" w:firstLineChars="275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green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green"/>
                <w:lang w:eastAsia="en-US"/>
              </w:rPr>
              <w:t>2023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E5B8B7" w:themeFill="accent2" w:themeFillTint="66"/>
            <w:noWrap/>
            <w:vAlign w:val="center"/>
          </w:tcPr>
          <w:p w14:paraId="4BAD18EC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3" w:firstLineChars="275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green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green"/>
                <w:lang w:eastAsia="en-US"/>
              </w:rPr>
              <w:t>2024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E5B8B7" w:themeFill="accent2" w:themeFillTint="66"/>
            <w:noWrap/>
            <w:vAlign w:val="center"/>
          </w:tcPr>
          <w:p w14:paraId="4AA1E84E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3" w:firstLineChars="275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green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green"/>
                <w:lang w:eastAsia="en-US"/>
              </w:rPr>
              <w:t>2025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E5B8B7" w:themeFill="accent2" w:themeFillTint="66"/>
            <w:noWrap/>
            <w:vAlign w:val="center"/>
          </w:tcPr>
          <w:p w14:paraId="4059D89E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3" w:firstLineChars="275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green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green"/>
                <w:lang w:eastAsia="en-US"/>
              </w:rPr>
              <w:t>2026*</w:t>
            </w:r>
          </w:p>
        </w:tc>
      </w:tr>
      <w:tr w14:paraId="2B0229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C05DCD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3" w:firstLineChars="275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green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green"/>
                <w:lang w:eastAsia="en-US"/>
              </w:rPr>
              <w:t>Добыча газа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DB6FEB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3" w:firstLineChars="275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green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green"/>
                <w:lang w:eastAsia="en-US"/>
              </w:rPr>
              <w:t>м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green"/>
                <w:vertAlign w:val="superscript"/>
                <w:lang w:eastAsia="en-US"/>
              </w:rPr>
              <w:t>3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615A2C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0" w:firstLineChars="275"/>
              <w:jc w:val="both"/>
              <w:textAlignment w:val="auto"/>
              <w:rPr>
                <w:rFonts w:hint="default" w:ascii="Times New Roman" w:hAnsi="Times New Roman" w:cs="Times New Roman"/>
                <w:bCs/>
                <w:sz w:val="24"/>
                <w:szCs w:val="24"/>
                <w:highlight w:val="green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green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CD0E9F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0" w:firstLineChars="275"/>
              <w:jc w:val="both"/>
              <w:textAlignment w:val="auto"/>
              <w:rPr>
                <w:rFonts w:hint="default" w:ascii="Times New Roman" w:hAnsi="Times New Roman" w:cs="Times New Roman"/>
                <w:bCs/>
                <w:sz w:val="24"/>
                <w:szCs w:val="24"/>
                <w:highlight w:val="green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green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B6ABEC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0" w:firstLineChars="275"/>
              <w:jc w:val="both"/>
              <w:textAlignment w:val="auto"/>
              <w:rPr>
                <w:rFonts w:hint="default" w:ascii="Times New Roman" w:hAnsi="Times New Roman" w:cs="Times New Roman"/>
                <w:bCs/>
                <w:sz w:val="24"/>
                <w:szCs w:val="24"/>
                <w:highlight w:val="green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green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EE657C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0" w:firstLineChars="275"/>
              <w:jc w:val="both"/>
              <w:textAlignment w:val="auto"/>
              <w:rPr>
                <w:rFonts w:hint="default" w:ascii="Times New Roman" w:hAnsi="Times New Roman" w:cs="Times New Roman"/>
                <w:bCs/>
                <w:sz w:val="24"/>
                <w:szCs w:val="24"/>
                <w:highlight w:val="green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green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B828CD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0" w:firstLineChars="275"/>
              <w:jc w:val="both"/>
              <w:textAlignment w:val="auto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green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green"/>
              </w:rPr>
              <w:t>0,00</w:t>
            </w:r>
          </w:p>
        </w:tc>
      </w:tr>
      <w:tr w14:paraId="3121BB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086619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3" w:firstLineChars="275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green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green"/>
                <w:lang w:eastAsia="en-US"/>
              </w:rPr>
              <w:t>Использование сырого газа на собственные нужды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417B2A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3" w:firstLineChars="275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green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green"/>
                <w:lang w:eastAsia="en-US"/>
              </w:rPr>
              <w:t>м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green"/>
                <w:vertAlign w:val="superscript"/>
                <w:lang w:eastAsia="en-US"/>
              </w:rPr>
              <w:t>3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1EC8EE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0" w:firstLineChars="275"/>
              <w:jc w:val="both"/>
              <w:textAlignment w:val="auto"/>
              <w:rPr>
                <w:rFonts w:hint="default" w:ascii="Times New Roman" w:hAnsi="Times New Roman" w:cs="Times New Roman"/>
                <w:bCs/>
                <w:sz w:val="24"/>
                <w:szCs w:val="24"/>
                <w:highlight w:val="green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green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0F4806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0" w:firstLineChars="275"/>
              <w:jc w:val="both"/>
              <w:textAlignment w:val="auto"/>
              <w:rPr>
                <w:rFonts w:hint="default" w:ascii="Times New Roman" w:hAnsi="Times New Roman" w:cs="Times New Roman"/>
                <w:bCs/>
                <w:sz w:val="24"/>
                <w:szCs w:val="24"/>
                <w:highlight w:val="green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green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4AE7CC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0" w:firstLineChars="275"/>
              <w:jc w:val="both"/>
              <w:textAlignment w:val="auto"/>
              <w:rPr>
                <w:rFonts w:hint="default" w:ascii="Times New Roman" w:hAnsi="Times New Roman" w:cs="Times New Roman"/>
                <w:bCs/>
                <w:sz w:val="24"/>
                <w:szCs w:val="24"/>
                <w:highlight w:val="green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green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AB39E1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0" w:firstLineChars="275"/>
              <w:jc w:val="both"/>
              <w:textAlignment w:val="auto"/>
              <w:rPr>
                <w:rFonts w:hint="default" w:ascii="Times New Roman" w:hAnsi="Times New Roman" w:cs="Times New Roman"/>
                <w:bCs/>
                <w:sz w:val="24"/>
                <w:szCs w:val="24"/>
                <w:highlight w:val="green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green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D82C20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0" w:firstLineChars="275"/>
              <w:jc w:val="both"/>
              <w:textAlignment w:val="auto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green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green"/>
              </w:rPr>
              <w:t>0,00</w:t>
            </w:r>
          </w:p>
        </w:tc>
      </w:tr>
      <w:tr w14:paraId="144DFA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1337AB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3" w:firstLineChars="275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green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green"/>
                <w:lang w:eastAsia="en-US"/>
              </w:rPr>
              <w:t>Передано потребителю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4BA4EA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3" w:firstLineChars="275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green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highlight w:val="green"/>
              </w:rPr>
              <w:t xml:space="preserve"> м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highlight w:val="green"/>
                <w:vertAlign w:val="superscript"/>
              </w:rPr>
              <w:t>3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028059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0" w:firstLineChars="275"/>
              <w:jc w:val="both"/>
              <w:textAlignment w:val="auto"/>
              <w:rPr>
                <w:rFonts w:hint="default" w:ascii="Times New Roman" w:hAnsi="Times New Roman" w:cs="Times New Roman"/>
                <w:bCs/>
                <w:sz w:val="24"/>
                <w:szCs w:val="24"/>
                <w:highlight w:val="green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green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0299EB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0" w:firstLineChars="275"/>
              <w:jc w:val="both"/>
              <w:textAlignment w:val="auto"/>
              <w:rPr>
                <w:rFonts w:hint="default" w:ascii="Times New Roman" w:hAnsi="Times New Roman" w:cs="Times New Roman"/>
                <w:bCs/>
                <w:sz w:val="24"/>
                <w:szCs w:val="24"/>
                <w:highlight w:val="green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green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D7A011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0" w:firstLineChars="275"/>
              <w:jc w:val="both"/>
              <w:textAlignment w:val="auto"/>
              <w:rPr>
                <w:rFonts w:hint="default" w:ascii="Times New Roman" w:hAnsi="Times New Roman" w:cs="Times New Roman"/>
                <w:bCs/>
                <w:sz w:val="24"/>
                <w:szCs w:val="24"/>
                <w:highlight w:val="green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green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2481E4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0" w:firstLineChars="275"/>
              <w:jc w:val="both"/>
              <w:textAlignment w:val="auto"/>
              <w:rPr>
                <w:rFonts w:hint="default" w:ascii="Times New Roman" w:hAnsi="Times New Roman" w:cs="Times New Roman"/>
                <w:bCs/>
                <w:sz w:val="24"/>
                <w:szCs w:val="24"/>
                <w:highlight w:val="green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green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98003D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0" w:firstLineChars="275"/>
              <w:jc w:val="both"/>
              <w:textAlignment w:val="auto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green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green"/>
              </w:rPr>
              <w:t>0,00</w:t>
            </w:r>
          </w:p>
        </w:tc>
      </w:tr>
      <w:tr w14:paraId="3915A8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809E66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3" w:firstLineChars="275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green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green"/>
                <w:lang w:eastAsia="en-US"/>
              </w:rPr>
              <w:t>Сожжено газа на факелах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49788E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3" w:firstLineChars="275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green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green"/>
                <w:lang w:eastAsia="en-US"/>
              </w:rPr>
              <w:t>м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green"/>
                <w:vertAlign w:val="superscript"/>
                <w:lang w:eastAsia="en-US"/>
              </w:rPr>
              <w:t>3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A2E70E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0" w:firstLineChars="275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green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green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86ED82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0" w:firstLineChars="275"/>
              <w:jc w:val="both"/>
              <w:textAlignment w:val="auto"/>
              <w:rPr>
                <w:rFonts w:hint="default" w:ascii="Times New Roman" w:hAnsi="Times New Roman" w:cs="Times New Roman"/>
                <w:bCs/>
                <w:sz w:val="24"/>
                <w:szCs w:val="24"/>
                <w:highlight w:val="green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green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5283DE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0" w:firstLineChars="275"/>
              <w:jc w:val="both"/>
              <w:textAlignment w:val="auto"/>
              <w:rPr>
                <w:rFonts w:hint="default" w:ascii="Times New Roman" w:hAnsi="Times New Roman" w:cs="Times New Roman"/>
                <w:bCs/>
                <w:sz w:val="24"/>
                <w:szCs w:val="24"/>
                <w:highlight w:val="green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green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99CE5C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0" w:firstLineChars="275"/>
              <w:jc w:val="both"/>
              <w:textAlignment w:val="auto"/>
              <w:rPr>
                <w:rFonts w:hint="default" w:ascii="Times New Roman" w:hAnsi="Times New Roman" w:cs="Times New Roman"/>
                <w:bCs/>
                <w:sz w:val="24"/>
                <w:szCs w:val="24"/>
                <w:highlight w:val="green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green"/>
              </w:rPr>
              <w:t>0,00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8EA325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="0" w:afterAutospacing="0" w:line="240" w:lineRule="auto"/>
              <w:ind w:left="0" w:leftChars="0" w:right="0" w:firstLine="660" w:firstLineChars="275"/>
              <w:jc w:val="both"/>
              <w:textAlignment w:val="auto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green"/>
              </w:rPr>
              <w:t>0,00</w:t>
            </w:r>
          </w:p>
        </w:tc>
      </w:tr>
    </w:tbl>
    <w:p w14:paraId="74DB2A3D">
      <w:pPr>
        <w:pStyle w:val="46"/>
        <w:pageBreakBefore w:val="0"/>
        <w:widowControl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i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i/>
          <w:sz w:val="24"/>
          <w:szCs w:val="24"/>
        </w:rPr>
        <w:t>*данные приняты по состоянию на 01.07.</w:t>
      </w:r>
      <w:r>
        <w:rPr>
          <w:rFonts w:hint="default" w:ascii="Times New Roman" w:hAnsi="Times New Roman" w:cs="Times New Roman"/>
          <w:i/>
          <w:sz w:val="24"/>
          <w:szCs w:val="24"/>
          <w:lang w:val="ru-RU"/>
        </w:rPr>
        <w:t xml:space="preserve"> 2027 год</w:t>
      </w:r>
    </w:p>
    <w:p w14:paraId="23955125">
      <w:pPr>
        <w:pStyle w:val="46"/>
        <w:pageBreakBefore w:val="0"/>
        <w:widowControl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3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bookmarkStart w:id="2" w:name="_GoBack"/>
      <w:bookmarkEnd w:id="2"/>
      <w:r>
        <w:rPr>
          <w:rFonts w:hint="default" w:ascii="Times New Roman" w:hAnsi="Times New Roman" w:cs="Times New Roman"/>
          <w:b/>
          <w:sz w:val="24"/>
          <w:szCs w:val="24"/>
        </w:rPr>
        <w:t>3. Характеристика деятельности предприятия</w:t>
      </w:r>
    </w:p>
    <w:p w14:paraId="2291408B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before="0"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Согласно утвержденным технологическим документам, в 2027 году планируется добыча:</w:t>
      </w:r>
    </w:p>
    <w:p w14:paraId="08C7CB9E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before="0"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нефти — </w:t>
      </w:r>
      <w:r>
        <w:rPr>
          <w:rStyle w:val="14"/>
          <w:rFonts w:hint="default" w:ascii="Times New Roman" w:hAnsi="Times New Roman" w:cs="Times New Roman"/>
          <w:sz w:val="24"/>
          <w:szCs w:val="24"/>
        </w:rPr>
        <w:t>64 700 тонн</w:t>
      </w:r>
      <w:r>
        <w:rPr>
          <w:rFonts w:hint="default" w:ascii="Times New Roman" w:hAnsi="Times New Roman" w:cs="Times New Roman"/>
          <w:sz w:val="24"/>
          <w:szCs w:val="24"/>
        </w:rPr>
        <w:t>;</w:t>
      </w:r>
    </w:p>
    <w:p w14:paraId="1E4F56DA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before="0"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попутного газа — </w:t>
      </w:r>
      <w:r>
        <w:rPr>
          <w:rStyle w:val="14"/>
          <w:rFonts w:hint="default" w:ascii="Times New Roman" w:hAnsi="Times New Roman" w:cs="Times New Roman"/>
          <w:sz w:val="24"/>
          <w:szCs w:val="24"/>
        </w:rPr>
        <w:t>28 000 м³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697A3EED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before="0"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Объемы приняты в соответствии с утвержденным анализом разработки месторождения.</w:t>
      </w:r>
    </w:p>
    <w:p w14:paraId="0914BE3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before="0" w:beforeAutospacing="0" w:after="0" w:afterAutospacing="0" w:line="240" w:lineRule="auto"/>
        <w:ind w:left="0" w:leftChars="0" w:right="0" w:firstLine="663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Использование попутного газа</w:t>
      </w:r>
    </w:p>
    <w:p w14:paraId="19226D5E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before="0"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Программой предусмотрено максимально рациональное использование добываемого попутного газа. Весь объем газа планируется направлять на собственные технологические нужды месторождения, главным образом в качестве топлива для работы устьевых подогревателей нефти. Это позволит обеспечить эффективное использование энергетических ресурсов непосредственно на производственной площадке.</w:t>
      </w:r>
    </w:p>
    <w:p w14:paraId="553A867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before="0" w:beforeAutospacing="0" w:after="0" w:afterAutospacing="0" w:line="240" w:lineRule="auto"/>
        <w:ind w:left="0" w:leftChars="0" w:right="0" w:firstLine="663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Сжигание газа</w:t>
      </w:r>
    </w:p>
    <w:p w14:paraId="584DBF7C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before="0"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На 2027 год технологически неизбежное сжигание попутного газа на факельной установке </w:t>
      </w:r>
      <w:r>
        <w:rPr>
          <w:rStyle w:val="14"/>
          <w:rFonts w:hint="default" w:ascii="Times New Roman" w:hAnsi="Times New Roman" w:cs="Times New Roman"/>
          <w:sz w:val="24"/>
          <w:szCs w:val="24"/>
        </w:rPr>
        <w:t>не предусматривается</w:t>
      </w:r>
      <w:r>
        <w:rPr>
          <w:rFonts w:hint="default" w:ascii="Times New Roman" w:hAnsi="Times New Roman" w:cs="Times New Roman"/>
          <w:sz w:val="24"/>
          <w:szCs w:val="24"/>
        </w:rPr>
        <w:t xml:space="preserve">. Все категории возможного сжигания (при испытаниях, пусконаладочных работах, эксплуатации оборудования, ремонтах и технологических сбоях) приняты равными </w:t>
      </w:r>
      <w:r>
        <w:rPr>
          <w:rStyle w:val="14"/>
          <w:rFonts w:hint="default" w:ascii="Times New Roman" w:hAnsi="Times New Roman" w:cs="Times New Roman"/>
          <w:sz w:val="24"/>
          <w:szCs w:val="24"/>
        </w:rPr>
        <w:t>0 м³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2DABD6C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before="0" w:beforeAutospacing="0" w:after="0" w:afterAutospacing="0" w:line="240" w:lineRule="auto"/>
        <w:ind w:left="0" w:leftChars="0" w:right="0" w:firstLine="663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Баланс газа</w:t>
      </w:r>
    </w:p>
    <w:p w14:paraId="3D95BAFC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before="0"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Прогнозный баланс предусматривает:</w:t>
      </w:r>
    </w:p>
    <w:p w14:paraId="66C9BA9C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before="0"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добычу попутного газа — </w:t>
      </w:r>
      <w:r>
        <w:rPr>
          <w:rStyle w:val="14"/>
          <w:rFonts w:hint="default" w:ascii="Times New Roman" w:hAnsi="Times New Roman" w:cs="Times New Roman"/>
          <w:sz w:val="24"/>
          <w:szCs w:val="24"/>
        </w:rPr>
        <w:t>28 000 м³</w:t>
      </w:r>
      <w:r>
        <w:rPr>
          <w:rFonts w:hint="default" w:ascii="Times New Roman" w:hAnsi="Times New Roman" w:cs="Times New Roman"/>
          <w:sz w:val="24"/>
          <w:szCs w:val="24"/>
        </w:rPr>
        <w:t>;</w:t>
      </w:r>
    </w:p>
    <w:p w14:paraId="76169EB5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before="0"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использование на собственные технологические нужды — </w:t>
      </w:r>
      <w:r>
        <w:rPr>
          <w:rStyle w:val="14"/>
          <w:rFonts w:hint="default" w:ascii="Times New Roman" w:hAnsi="Times New Roman" w:cs="Times New Roman"/>
          <w:sz w:val="24"/>
          <w:szCs w:val="24"/>
        </w:rPr>
        <w:t>28 000 м³</w:t>
      </w:r>
      <w:r>
        <w:rPr>
          <w:rFonts w:hint="default" w:ascii="Times New Roman" w:hAnsi="Times New Roman" w:cs="Times New Roman"/>
          <w:sz w:val="24"/>
          <w:szCs w:val="24"/>
        </w:rPr>
        <w:t>;</w:t>
      </w:r>
    </w:p>
    <w:p w14:paraId="377F9474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before="0"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технологически неизбежное сжигание — </w:t>
      </w:r>
      <w:r>
        <w:rPr>
          <w:rStyle w:val="14"/>
          <w:rFonts w:hint="default" w:ascii="Times New Roman" w:hAnsi="Times New Roman" w:cs="Times New Roman"/>
          <w:sz w:val="24"/>
          <w:szCs w:val="24"/>
        </w:rPr>
        <w:t>0 м³</w:t>
      </w:r>
      <w:r>
        <w:rPr>
          <w:rFonts w:hint="default" w:ascii="Times New Roman" w:hAnsi="Times New Roman" w:cs="Times New Roman"/>
          <w:sz w:val="24"/>
          <w:szCs w:val="24"/>
        </w:rPr>
        <w:t>;</w:t>
      </w:r>
    </w:p>
    <w:p w14:paraId="03D6D01C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before="0"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уровень утилизации попутного газа — </w:t>
      </w:r>
      <w:r>
        <w:rPr>
          <w:rStyle w:val="14"/>
          <w:rFonts w:hint="default" w:ascii="Times New Roman" w:hAnsi="Times New Roman" w:cs="Times New Roman"/>
          <w:sz w:val="24"/>
          <w:szCs w:val="24"/>
        </w:rPr>
        <w:t>100 %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056F8193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3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7. Оценка воздействия на окружающую среду</w:t>
      </w:r>
    </w:p>
    <w:p w14:paraId="47BB7E72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Проведенные расчеты рассеивания загрязняющих веществ показали, что их максимальные концентрации в приземном слое атмосферы не превышают предельно допустимых значений. Это означает, что деятельность предприятия не оказывает значимого негативного воздействия на окружающую среду.</w:t>
      </w:r>
    </w:p>
    <w:p w14:paraId="32B3C014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Ввиду удаленности жилых зон и отсутствия постоянного населения вблизи месторождения воздействие на здоровье людей отсутствует. Дополнительные природоохранные мероприятия не требуются.</w:t>
      </w:r>
    </w:p>
    <w:p w14:paraId="0944B5D3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3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8. Санитарно-защитная зона</w:t>
      </w:r>
    </w:p>
    <w:p w14:paraId="307841E6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Для объектов добычи нефти и газа установлена санитарно-защитная зона не менее 500 метров. В пределах данной зоны отсутствует жилая застройка, что соответствует санитарным требованиям.</w:t>
      </w:r>
    </w:p>
    <w:p w14:paraId="129E522F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3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9. Экологическая безопасность и контроль</w:t>
      </w:r>
    </w:p>
    <w:p w14:paraId="55D383BB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Предприятие обеспечивает контроль за выбросами загрязняющих веществ, проводит регулярные проверки состояния оборудования и реализует мероприятия по предотвращению утечек. Используемые технологии соответствуют современным требованиям экологической безопасности.</w:t>
      </w:r>
    </w:p>
    <w:p w14:paraId="44CDFB82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3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10. Выводы</w:t>
      </w:r>
    </w:p>
    <w:p w14:paraId="6CBC1B5B">
      <w:pPr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ind w:left="0" w:leftChars="0" w:right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Результаты проведенных расчетов и анализа показывают, что реализация проекта не приведет к ухудшению качества атмосферного воздуха и не окажет негативного воздействия на окружающую среду и население. Проект соответствует требованиям экологического законодательства Республики Казахстан и может быть реализован при соблюдении установленных нормативов.</w:t>
      </w:r>
    </w:p>
    <w:sectPr>
      <w:headerReference r:id="rId6" w:type="default"/>
      <w:footerReference r:id="rId7" w:type="default"/>
      <w:pgSz w:w="12240" w:h="15840"/>
      <w:pgMar w:top="1440" w:right="760" w:bottom="1440" w:left="92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MS Mincho">
    <w:panose1 w:val="02020609040205080304"/>
    <w:charset w:val="80"/>
    <w:family w:val="auto"/>
    <w:pitch w:val="default"/>
    <w:sig w:usb0="A00002BF" w:usb1="68C7FCFB" w:usb2="00000010" w:usb3="00000000" w:csb0="4002009F" w:csb1="DFD7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82CFBA">
    <w:pPr>
      <w:pStyle w:val="20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990600</wp:posOffset>
              </wp:positionH>
              <wp:positionV relativeFrom="page">
                <wp:posOffset>10095865</wp:posOffset>
              </wp:positionV>
              <wp:extent cx="6120765" cy="18415"/>
              <wp:effectExtent l="0" t="0" r="0" b="0"/>
              <wp:wrapNone/>
              <wp:docPr id="17" name="Graphic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765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20765" h="18415">
                            <a:moveTo>
                              <a:pt x="6120765" y="18288"/>
                            </a:moveTo>
                            <a:lnTo>
                              <a:pt x="0" y="18288"/>
                            </a:lnTo>
                            <a:lnTo>
                              <a:pt x="0" y="0"/>
                            </a:lnTo>
                            <a:lnTo>
                              <a:pt x="6120765" y="0"/>
                            </a:lnTo>
                            <a:lnTo>
                              <a:pt x="6120765" y="18288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17" o:spid="_x0000_s1026" o:spt="100" style="position:absolute;left:0pt;margin-left:78pt;margin-top:794.95pt;height:1.45pt;width:481.95pt;mso-position-horizontal-relative:page;mso-position-vertical-relative:page;z-index:-251657216;mso-width-relative:page;mso-height-relative:page;" fillcolor="#000000" filled="t" stroked="f" coordsize="6120765,18415" o:gfxdata="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tXQd/NYA&#10;AAAOAQAADwAAAAAAAAABACAAAAAiAAAAZHJzL2Rvd25yZXYueG1sUEsBAhQAFAAAAAgAh07iQNUU&#10;wzIhAgAA5gQAAA4AAAAAAAAAAQAgAAAAJQEAAGRycy9lMm9Eb2MueG1sUEsFBgAAAAAGAAYAWQEA&#10;ALgFAAAAAA==&#10;" path="m6120765,18288l0,18288,0,0,6120765,0,6120765,18288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6946265</wp:posOffset>
              </wp:positionH>
              <wp:positionV relativeFrom="page">
                <wp:posOffset>10238105</wp:posOffset>
              </wp:positionV>
              <wp:extent cx="216535" cy="165735"/>
              <wp:effectExtent l="0" t="0" r="0" b="0"/>
              <wp:wrapNone/>
              <wp:docPr id="19" name="Textbox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C41984"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9" o:spid="_x0000_s1026" o:spt="202" type="#_x0000_t202" style="position:absolute;left:0pt;margin-left:546.95pt;margin-top:806.15pt;height:13.05pt;width:17.05pt;mso-position-horizontal-relative:page;mso-position-vertical-relative:page;z-index:-251656192;mso-width-relative:page;mso-height-relative:page;" filled="f" stroked="f" coordsize="21600,21600" o:gfxdata="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6&#10;pkNv2gAAAA8BAAAPAAAAAAAAAAEAIAAAACIAAABkcnMvZG93bnJldi54bWxQSwECFAAUAAAACACH&#10;TuJA7O8lVLABAAB1AwAADgAAAAAAAAABACAAAAAp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9C41984">
                    <w:pPr>
                      <w:spacing w:before="10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38560410"/>
      <w:docPartObj>
        <w:docPartGallery w:val="autotext"/>
      </w:docPartObj>
    </w:sdtPr>
    <w:sdtContent>
      <w:p w14:paraId="3DDF56DC">
        <w:pPr>
          <w:pStyle w:val="26"/>
          <w:pBdr>
            <w:top w:val="single" w:color="auto" w:sz="4" w:space="1"/>
          </w:pBdr>
          <w:tabs>
            <w:tab w:val="center" w:pos="4677"/>
            <w:tab w:val="right" w:pos="9355"/>
            <w:tab w:val="clear" w:pos="4680"/>
            <w:tab w:val="clear" w:pos="9360"/>
          </w:tabs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22</w:t>
        </w:r>
        <w:r>
          <w:fldChar w:fldCharType="end"/>
        </w:r>
      </w:p>
    </w:sdtContent>
  </w:sdt>
  <w:p w14:paraId="3C141169">
    <w:pPr>
      <w:pStyle w:val="26"/>
      <w:tabs>
        <w:tab w:val="center" w:pos="4677"/>
        <w:tab w:val="right" w:pos="9355"/>
        <w:tab w:val="clear" w:pos="4680"/>
        <w:tab w:val="clear" w:pos="936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BA96DB">
    <w:pPr>
      <w:pStyle w:val="19"/>
      <w:tabs>
        <w:tab w:val="center" w:pos="4677"/>
        <w:tab w:val="right" w:pos="9355"/>
        <w:tab w:val="clear" w:pos="4680"/>
        <w:tab w:val="clear" w:pos="936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18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28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4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2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C007F49"/>
    <w:rsid w:val="15155340"/>
    <w:rsid w:val="2D3F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qFormat="1"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qFormat="1"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qFormat="1"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qFormat="1" w:unhideWhenUsed="0" w:uiPriority="64" w:semiHidden="0" w:name="Medium Shading 2 Accent 3"/>
    <w:lsdException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unhideWhenUsed="0" w:uiPriority="65" w:semiHidden="0" w:name="Medium List 1 Accent 4"/>
    <w:lsdException w:qFormat="1"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qFormat="1" w:unhideWhenUsed="0" w:uiPriority="63" w:semiHidden="0" w:name="Medium Shading 1 Accent 5"/>
    <w:lsdException w:unhideWhenUsed="0" w:uiPriority="64" w:semiHidden="0" w:name="Medium Shading 2 Accent 5"/>
    <w:lsdException w:qFormat="1" w:unhideWhenUsed="0" w:uiPriority="65" w:semiHidden="0" w:name="Medium List 1 Accent 5"/>
    <w:lsdException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qFormat="1"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unhideWhenUsed="0" w:uiPriority="64" w:semiHidden="0" w:name="Medium Shading 2 Accent 6"/>
    <w:lsdException w:qFormat="1" w:unhideWhenUsed="0" w:uiPriority="65" w:semiHidden="0" w:name="Medium List 1 Accent 6"/>
    <w:lsdException w:unhideWhenUsed="0" w:uiPriority="66" w:semiHidden="0" w:name="Medium List 2 Accent 6"/>
    <w:lsdException w:qFormat="1"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41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42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link w:val="43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link w:val="53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54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55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56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57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58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basedOn w:val="11"/>
    <w:qFormat/>
    <w:uiPriority w:val="20"/>
    <w:rPr>
      <w:i/>
      <w:iCs/>
    </w:rPr>
  </w:style>
  <w:style w:type="character" w:styleId="14">
    <w:name w:val="Strong"/>
    <w:basedOn w:val="11"/>
    <w:qFormat/>
    <w:uiPriority w:val="22"/>
    <w:rPr>
      <w:b/>
      <w:bCs/>
    </w:rPr>
  </w:style>
  <w:style w:type="paragraph" w:styleId="15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16">
    <w:name w:val="Body Text 2"/>
    <w:basedOn w:val="1"/>
    <w:link w:val="48"/>
    <w:unhideWhenUsed/>
    <w:qFormat/>
    <w:uiPriority w:val="99"/>
    <w:pPr>
      <w:spacing w:after="120" w:line="480" w:lineRule="auto"/>
    </w:pPr>
  </w:style>
  <w:style w:type="paragraph" w:styleId="17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List Number 3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9">
    <w:name w:val="header"/>
    <w:basedOn w:val="1"/>
    <w:link w:val="3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Body Text"/>
    <w:basedOn w:val="1"/>
    <w:link w:val="47"/>
    <w:unhideWhenUsed/>
    <w:qFormat/>
    <w:uiPriority w:val="99"/>
    <w:pPr>
      <w:spacing w:after="120"/>
    </w:pPr>
  </w:style>
  <w:style w:type="paragraph" w:styleId="21">
    <w:name w:val="macro"/>
    <w:link w:val="50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22">
    <w:name w:val="List Bullet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24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25">
    <w:name w:val="Title"/>
    <w:basedOn w:val="1"/>
    <w:next w:val="1"/>
    <w:link w:val="44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26">
    <w:name w:val="footer"/>
    <w:basedOn w:val="1"/>
    <w:link w:val="3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7">
    <w:name w:val="List Number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8">
    <w:name w:val="List Number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9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30">
    <w:name w:val="Normal (Web)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paragraph" w:styleId="31">
    <w:name w:val="Body Text 3"/>
    <w:basedOn w:val="1"/>
    <w:link w:val="49"/>
    <w:unhideWhenUsed/>
    <w:qFormat/>
    <w:uiPriority w:val="99"/>
    <w:pPr>
      <w:spacing w:after="120"/>
    </w:pPr>
    <w:rPr>
      <w:sz w:val="16"/>
      <w:szCs w:val="16"/>
    </w:rPr>
  </w:style>
  <w:style w:type="paragraph" w:styleId="32">
    <w:name w:val="Subtitle"/>
    <w:basedOn w:val="1"/>
    <w:next w:val="1"/>
    <w:link w:val="45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33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4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5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36">
    <w:name w:val="List 3"/>
    <w:basedOn w:val="1"/>
    <w:unhideWhenUsed/>
    <w:qFormat/>
    <w:uiPriority w:val="99"/>
    <w:pPr>
      <w:ind w:left="1080" w:hanging="360"/>
      <w:contextualSpacing/>
    </w:pPr>
  </w:style>
  <w:style w:type="table" w:styleId="37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8">
    <w:name w:val="Header Char"/>
    <w:basedOn w:val="11"/>
    <w:link w:val="19"/>
    <w:qFormat/>
    <w:uiPriority w:val="99"/>
  </w:style>
  <w:style w:type="character" w:customStyle="1" w:styleId="39">
    <w:name w:val="Footer Char"/>
    <w:basedOn w:val="11"/>
    <w:link w:val="26"/>
    <w:qFormat/>
    <w:uiPriority w:val="99"/>
  </w:style>
  <w:style w:type="paragraph" w:styleId="40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41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42">
    <w:name w:val="Heading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43">
    <w:name w:val="Heading 3 Char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44">
    <w:name w:val="Title Char"/>
    <w:basedOn w:val="11"/>
    <w:link w:val="25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45">
    <w:name w:val="Subtitle Char"/>
    <w:basedOn w:val="11"/>
    <w:link w:val="3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46">
    <w:name w:val="List Paragraph"/>
    <w:basedOn w:val="1"/>
    <w:qFormat/>
    <w:uiPriority w:val="34"/>
    <w:pPr>
      <w:ind w:left="720"/>
      <w:contextualSpacing/>
    </w:pPr>
  </w:style>
  <w:style w:type="character" w:customStyle="1" w:styleId="47">
    <w:name w:val="Body Text Char"/>
    <w:basedOn w:val="11"/>
    <w:link w:val="20"/>
    <w:qFormat/>
    <w:uiPriority w:val="99"/>
  </w:style>
  <w:style w:type="character" w:customStyle="1" w:styleId="48">
    <w:name w:val="Body Text 2 Char"/>
    <w:basedOn w:val="11"/>
    <w:link w:val="16"/>
    <w:qFormat/>
    <w:uiPriority w:val="99"/>
  </w:style>
  <w:style w:type="character" w:customStyle="1" w:styleId="49">
    <w:name w:val="Body Text 3 Char"/>
    <w:basedOn w:val="11"/>
    <w:link w:val="31"/>
    <w:qFormat/>
    <w:uiPriority w:val="99"/>
    <w:rPr>
      <w:sz w:val="16"/>
      <w:szCs w:val="16"/>
    </w:rPr>
  </w:style>
  <w:style w:type="character" w:customStyle="1" w:styleId="50">
    <w:name w:val="Macro Text Char"/>
    <w:basedOn w:val="11"/>
    <w:link w:val="21"/>
    <w:uiPriority w:val="99"/>
    <w:rPr>
      <w:rFonts w:ascii="Courier" w:hAnsi="Courier"/>
      <w:sz w:val="20"/>
      <w:szCs w:val="20"/>
    </w:rPr>
  </w:style>
  <w:style w:type="paragraph" w:styleId="51">
    <w:name w:val="Quote"/>
    <w:basedOn w:val="1"/>
    <w:next w:val="1"/>
    <w:link w:val="52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2">
    <w:name w:val="Quote Char"/>
    <w:basedOn w:val="11"/>
    <w:link w:val="5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3">
    <w:name w:val="Heading 4 Char"/>
    <w:basedOn w:val="11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54">
    <w:name w:val="Heading 5 Char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55">
    <w:name w:val="Heading 6 Char"/>
    <w:basedOn w:val="11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56">
    <w:name w:val="Heading 7 Char"/>
    <w:basedOn w:val="11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7">
    <w:name w:val="Heading 8 Char"/>
    <w:basedOn w:val="11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58">
    <w:name w:val="Heading 9 Char"/>
    <w:basedOn w:val="11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59">
    <w:name w:val="Intense Quote"/>
    <w:basedOn w:val="1"/>
    <w:next w:val="1"/>
    <w:link w:val="60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60">
    <w:name w:val="Intense Quote Char"/>
    <w:basedOn w:val="11"/>
    <w:link w:val="59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61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62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63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64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65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66">
    <w:name w:val="TOC Heading"/>
    <w:basedOn w:val="2"/>
    <w:next w:val="1"/>
    <w:semiHidden/>
    <w:unhideWhenUsed/>
    <w:qFormat/>
    <w:uiPriority w:val="39"/>
    <w:pPr>
      <w:outlineLvl w:val="9"/>
    </w:pPr>
  </w:style>
  <w:style w:type="table" w:styleId="67">
    <w:name w:val="Light Shading"/>
    <w:basedOn w:val="1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68">
    <w:name w:val="Light Shading Accent 1"/>
    <w:basedOn w:val="1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69">
    <w:name w:val="Light Shading Accent 2"/>
    <w:basedOn w:val="1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70">
    <w:name w:val="Light Shading Accent 3"/>
    <w:basedOn w:val="1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71">
    <w:name w:val="Light Shading Accent 4"/>
    <w:basedOn w:val="1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72">
    <w:name w:val="Light Shading Accent 5"/>
    <w:basedOn w:val="1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73">
    <w:name w:val="Light Shading Accent 6"/>
    <w:basedOn w:val="1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74">
    <w:name w:val="Light List"/>
    <w:basedOn w:val="1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75">
    <w:name w:val="Light List Accent 1"/>
    <w:basedOn w:val="1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76">
    <w:name w:val="Light List Accent 2"/>
    <w:basedOn w:val="1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77">
    <w:name w:val="Light List Accent 3"/>
    <w:basedOn w:val="1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78">
    <w:name w:val="Light List Accent 4"/>
    <w:basedOn w:val="1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79">
    <w:name w:val="Light List Accent 5"/>
    <w:basedOn w:val="1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80">
    <w:name w:val="Light List Accent 6"/>
    <w:basedOn w:val="1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81">
    <w:name w:val="Light Grid"/>
    <w:basedOn w:val="1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82">
    <w:name w:val="Light Grid Accent 1"/>
    <w:basedOn w:val="1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83">
    <w:name w:val="Light Grid Accent 2"/>
    <w:basedOn w:val="1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84">
    <w:name w:val="Light Grid Accent 3"/>
    <w:basedOn w:val="1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85">
    <w:name w:val="Light Grid Accent 4"/>
    <w:basedOn w:val="1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86">
    <w:name w:val="Light Grid Accent 5"/>
    <w:basedOn w:val="1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87">
    <w:name w:val="Light Grid Accent 6"/>
    <w:basedOn w:val="1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88">
    <w:name w:val="Medium Shading 1"/>
    <w:basedOn w:val="1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89">
    <w:name w:val="Medium Shading 1 Accent 1"/>
    <w:basedOn w:val="1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0">
    <w:name w:val="Medium Shading 1 Accent 2"/>
    <w:basedOn w:val="1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1">
    <w:name w:val="Medium Shading 1 Accent 3"/>
    <w:basedOn w:val="1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2">
    <w:name w:val="Medium Shading 1 Accent 4"/>
    <w:basedOn w:val="1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3">
    <w:name w:val="Medium Shading 1 Accent 5"/>
    <w:basedOn w:val="1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4">
    <w:name w:val="Medium Shading 1 Accent 6"/>
    <w:basedOn w:val="1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5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6">
    <w:name w:val="Medium Shading 2 Accent 1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7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8">
    <w:name w:val="Medium Shading 2 Accent 3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9">
    <w:name w:val="Medium Shading 2 Accent 4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0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1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2">
    <w:name w:val="Medium Lis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shd w:val="clear" w:color="auto" w:fill="BFBFBF" w:themeFill="text1" w:themeFillTint="3F"/>
      </w:tcPr>
    </w:tblStylePr>
  </w:style>
  <w:style w:type="table" w:styleId="103">
    <w:name w:val="Medium List 1 Accen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shd w:val="clear" w:color="auto" w:fill="D3DFEE" w:themeFill="accent1" w:themeFillTint="3F"/>
      </w:tcPr>
    </w:tblStylePr>
  </w:style>
  <w:style w:type="table" w:styleId="104">
    <w:name w:val="Medium List 1 Accent 2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shd w:val="clear" w:color="auto" w:fill="EFD3D3" w:themeFill="accent2" w:themeFillTint="3F"/>
      </w:tcPr>
    </w:tblStylePr>
  </w:style>
  <w:style w:type="table" w:styleId="105">
    <w:name w:val="Medium List 1 Accent 3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shd w:val="clear" w:color="auto" w:fill="E6EED5" w:themeFill="accent3" w:themeFillTint="3F"/>
      </w:tcPr>
    </w:tblStylePr>
  </w:style>
  <w:style w:type="table" w:styleId="106">
    <w:name w:val="Medium List 1 Accent 4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shd w:val="clear" w:color="auto" w:fill="DFD8E8" w:themeFill="accent4" w:themeFillTint="3F"/>
      </w:tcPr>
    </w:tblStylePr>
  </w:style>
  <w:style w:type="table" w:styleId="107">
    <w:name w:val="Medium List 1 Accent 5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shd w:val="clear" w:color="auto" w:fill="D2EAF0" w:themeFill="accent5" w:themeFillTint="3F"/>
      </w:tcPr>
    </w:tblStylePr>
  </w:style>
  <w:style w:type="table" w:styleId="108">
    <w:name w:val="Medium List 1 Accent 6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shd w:val="clear" w:color="auto" w:fill="FDE5D1" w:themeFill="accent6" w:themeFillTint="3F"/>
      </w:tcPr>
    </w:tblStylePr>
  </w:style>
  <w:style w:type="table" w:styleId="109">
    <w:name w:val="Medium Lis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0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1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2">
    <w:name w:val="Medium List 2 Accent 3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3">
    <w:name w:val="Medium List 2 Accent 4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4">
    <w:name w:val="Medium List 2 Accent 5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5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6">
    <w:name w:val="Medium Grid 1"/>
    <w:basedOn w:val="1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styleId="117">
    <w:name w:val="Medium Grid 1 Accent 1"/>
    <w:basedOn w:val="1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styleId="118">
    <w:name w:val="Medium Grid 1 Accent 2"/>
    <w:basedOn w:val="1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styleId="119">
    <w:name w:val="Medium Grid 1 Accent 3"/>
    <w:basedOn w:val="1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20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styleId="121">
    <w:name w:val="Medium Grid 1 Accent 5"/>
    <w:basedOn w:val="1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styleId="122">
    <w:name w:val="Medium Grid 1 Accent 6"/>
    <w:basedOn w:val="1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  <w:style w:type="table" w:styleId="123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4">
    <w:name w:val="Medium Grid 2 Accent 1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5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6">
    <w:name w:val="Medium Grid 2 Accent 3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7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8">
    <w:name w:val="Medium Grid 2 Accent 5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9">
    <w:name w:val="Medium Grid 2 Accent 6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30">
    <w:name w:val="Medium Grid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31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32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33">
    <w:name w:val="Medium Grid 3 Accent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34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35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36">
    <w:name w:val="Medium Grid 3 Accent 6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37">
    <w:name w:val="Dark List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38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39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40">
    <w:name w:val="Dark List Accent 3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41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42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43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44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shd w:val="clear" w:color="auto" w:fill="999999" w:themeFill="text1" w:themeFillTint="66"/>
      </w:tcPr>
    </w:tblStylePr>
    <w:tblStylePr w:type="band1Horz"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5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cPr>
        <w:shd w:val="clear" w:color="auto" w:fill="B8CCE4" w:themeFill="accent1" w:themeFillTint="66"/>
      </w:tcPr>
    </w:tblStylePr>
    <w:tblStylePr w:type="band1Horz"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6">
    <w:name w:val="Colorful Shading Accent 2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cPr>
        <w:shd w:val="clear" w:color="auto" w:fill="E5B8B7" w:themeFill="accent2" w:themeFillTint="66"/>
      </w:tcPr>
    </w:tblStylePr>
    <w:tblStylePr w:type="band1Horz"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7">
    <w:name w:val="Colorful Shading Accent 3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cPr>
        <w:shd w:val="clear" w:color="auto" w:fill="D6E3BC" w:themeFill="accent3" w:themeFillTint="66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48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cPr>
        <w:shd w:val="clear" w:color="auto" w:fill="CCC0D9" w:themeFill="accent4" w:themeFillTint="66"/>
      </w:tcPr>
    </w:tblStylePr>
    <w:tblStylePr w:type="band1Horz"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9">
    <w:name w:val="Colorful Shading Accent 5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cPr>
        <w:shd w:val="clear" w:color="auto" w:fill="B6DDE8" w:themeFill="accent5" w:themeFillTint="66"/>
      </w:tcPr>
    </w:tblStylePr>
    <w:tblStylePr w:type="band1Horz"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50">
    <w:name w:val="Colorful Shading Accent 6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cPr>
        <w:shd w:val="clear" w:color="auto" w:fill="FBD4B4" w:themeFill="accent6" w:themeFillTint="66"/>
      </w:tcPr>
    </w:tblStylePr>
    <w:tblStylePr w:type="band1Horz"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51">
    <w:name w:val="Colorful List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shd w:val="clear" w:color="auto" w:fill="CCCCCC" w:themeFill="text1" w:themeFillTint="33"/>
      </w:tcPr>
    </w:tblStylePr>
  </w:style>
  <w:style w:type="table" w:styleId="152">
    <w:name w:val="Colorful List Accent 1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shd w:val="clear" w:color="auto" w:fill="DBE5F1" w:themeFill="accent1" w:themeFillTint="33"/>
      </w:tcPr>
    </w:tblStylePr>
  </w:style>
  <w:style w:type="table" w:styleId="153">
    <w:name w:val="Colorful List Accent 2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shd w:val="clear" w:color="auto" w:fill="F2DBDB" w:themeFill="accent2" w:themeFillTint="33"/>
      </w:tcPr>
    </w:tblStylePr>
  </w:style>
  <w:style w:type="table" w:styleId="154">
    <w:name w:val="Colorful List Accent 3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shd w:val="clear" w:color="auto" w:fill="EAF1DD" w:themeFill="accent3" w:themeFillTint="33"/>
      </w:tcPr>
    </w:tblStylePr>
  </w:style>
  <w:style w:type="table" w:styleId="155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shd w:val="clear" w:color="auto" w:fill="E5DFEC" w:themeFill="accent4" w:themeFillTint="33"/>
      </w:tcPr>
    </w:tblStylePr>
  </w:style>
  <w:style w:type="table" w:styleId="156">
    <w:name w:val="Colorful List Accent 5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shd w:val="clear" w:color="auto" w:fill="DAEEF3" w:themeFill="accent5" w:themeFillTint="33"/>
      </w:tcPr>
    </w:tblStylePr>
  </w:style>
  <w:style w:type="table" w:styleId="157">
    <w:name w:val="Colorful List Accent 6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shd w:val="clear" w:color="auto" w:fill="FDE9D9" w:themeFill="accent6" w:themeFillTint="33"/>
      </w:tcPr>
    </w:tblStylePr>
  </w:style>
  <w:style w:type="table" w:styleId="158">
    <w:name w:val="Colorful Grid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 w:themeFillShade="BF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styleId="159">
    <w:name w:val="Colorful Grid Accent 1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66091" w:themeFill="accent1" w:themeFillShade="BF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styleId="160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43734" w:themeFill="accent2" w:themeFillShade="BF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styleId="161">
    <w:name w:val="Colorful Grid Accent 3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76923C" w:themeFill="accent3" w:themeFillShade="BF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62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F497A" w:themeFill="accent4" w:themeFillShade="BF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styleId="163">
    <w:name w:val="Colorful Grid Accent 5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1849B" w:themeFill="accent5" w:themeFillShade="BF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styleId="164">
    <w:name w:val="Colorful Grid Accent 6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36C09" w:themeFill="accent6" w:themeFillShade="BF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  <w:style w:type="paragraph" w:customStyle="1" w:styleId="165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66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paragraph" w:customStyle="1" w:styleId="167">
    <w:name w:val="8 таблица"/>
    <w:basedOn w:val="1"/>
    <w:next w:val="1"/>
    <w:qFormat/>
    <w:uiPriority w:val="0"/>
    <w:pPr>
      <w:jc w:val="center"/>
    </w:pPr>
    <w:rPr>
      <w:rFonts w:eastAsia="SimSun" w:cs="Arial Unicode MS"/>
      <w:sz w:val="20"/>
      <w:szCs w:val="20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2.e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610</Words>
  <Characters>4619</Characters>
  <Lines>0</Lines>
  <Paragraphs>0</Paragraphs>
  <TotalTime>3</TotalTime>
  <ScaleCrop>false</ScaleCrop>
  <LinksUpToDate>false</LinksUpToDate>
  <CharactersWithSpaces>5198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User</cp:lastModifiedBy>
  <dcterms:modified xsi:type="dcterms:W3CDTF">2026-08-03T07:42:15Z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9CFC5D4B977A45D8A349EBF629FDB6E7_13</vt:lpwstr>
  </property>
  <property fmtid="{D5CDD505-2E9C-101B-9397-08002B2CF9AE}" pid="4" name="KSOTemplateDocerSaveRecord">
    <vt:lpwstr>eyJoZGlkIjoiNDI0ZjBhMzhlYmU2MjQzMDk4MGE3YzkyMWQ0NTY2MjIifQ==</vt:lpwstr>
  </property>
</Properties>
</file>