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C0" w:rsidRPr="005429C0" w:rsidRDefault="005429C0" w:rsidP="005429C0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ТОО </w:t>
      </w:r>
      <w:r w:rsidR="00DA6206" w:rsidRPr="00DA620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7" style="position:absolute;left:0;text-align:left;margin-left:-17.85pt;margin-top:-27pt;width:7in;height:774pt;z-index:251660288;mso-position-horizontal-relative:text;mso-position-vertical-relative:text" filled="f" strokeweight="5pt">
            <v:stroke linestyle="thickThin"/>
            <v:shadow opacity=".5" offset=",4pt" offset2="-8pt,-4pt"/>
          </v:rect>
        </w:pict>
      </w:r>
      <w:r w:rsidRPr="005429C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«</w:t>
      </w:r>
      <w:r w:rsidRPr="005429C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kk-KZ" w:eastAsia="ru-RU"/>
        </w:rPr>
        <w:t>Oil Construction Company</w:t>
      </w:r>
      <w:r w:rsidRPr="005429C0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ru-RU"/>
        </w:rPr>
        <w:t>»</w:t>
      </w:r>
    </w:p>
    <w:p w:rsidR="00CC7AC4" w:rsidRPr="005429C0" w:rsidRDefault="00CC7AC4" w:rsidP="006D4E19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5429C0" w:rsidRDefault="00CC7AC4" w:rsidP="00CC7AC4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CC7AC4" w:rsidRPr="00492C98" w:rsidRDefault="00CC7AC4" w:rsidP="005429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29C0">
        <w:rPr>
          <w:rFonts w:ascii="Times New Roman" w:hAnsi="Times New Roman" w:cs="Times New Roman"/>
          <w:b/>
          <w:sz w:val="32"/>
          <w:szCs w:val="32"/>
        </w:rPr>
        <w:t>Краткое</w:t>
      </w:r>
      <w:r w:rsidRPr="00492C9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429C0">
        <w:rPr>
          <w:rFonts w:ascii="Times New Roman" w:hAnsi="Times New Roman" w:cs="Times New Roman"/>
          <w:b/>
          <w:sz w:val="32"/>
          <w:szCs w:val="32"/>
        </w:rPr>
        <w:t>нетехническое</w:t>
      </w:r>
      <w:r w:rsidRPr="00492C9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429C0">
        <w:rPr>
          <w:rFonts w:ascii="Times New Roman" w:hAnsi="Times New Roman" w:cs="Times New Roman"/>
          <w:b/>
          <w:sz w:val="32"/>
          <w:szCs w:val="32"/>
        </w:rPr>
        <w:t>резюме</w:t>
      </w:r>
    </w:p>
    <w:p w:rsidR="00492C98" w:rsidRPr="00492C98" w:rsidRDefault="00CC7AC4" w:rsidP="00492C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29C0">
        <w:rPr>
          <w:rFonts w:ascii="Times New Roman" w:hAnsi="Times New Roman" w:cs="Times New Roman"/>
          <w:b/>
          <w:sz w:val="32"/>
          <w:szCs w:val="32"/>
        </w:rPr>
        <w:t xml:space="preserve">к Проекту </w:t>
      </w:r>
      <w:r w:rsidR="00CB741F" w:rsidRPr="005429C0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492C98" w:rsidRPr="00492C98">
        <w:rPr>
          <w:rFonts w:ascii="Times New Roman" w:hAnsi="Times New Roman" w:cs="Times New Roman"/>
          <w:b/>
          <w:sz w:val="32"/>
          <w:szCs w:val="32"/>
        </w:rPr>
        <w:t>План горных работ</w:t>
      </w:r>
    </w:p>
    <w:p w:rsidR="00CB741F" w:rsidRPr="005429C0" w:rsidRDefault="00492C98" w:rsidP="00492C9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2C98">
        <w:rPr>
          <w:rFonts w:ascii="Times New Roman" w:hAnsi="Times New Roman" w:cs="Times New Roman"/>
          <w:b/>
          <w:sz w:val="32"/>
          <w:szCs w:val="32"/>
        </w:rPr>
        <w:t xml:space="preserve">по добыче  мергеля (грунта) на месторождении Каламкас-3 в </w:t>
      </w:r>
      <w:proofErr w:type="spellStart"/>
      <w:r w:rsidRPr="00492C98">
        <w:rPr>
          <w:rFonts w:ascii="Times New Roman" w:hAnsi="Times New Roman" w:cs="Times New Roman"/>
          <w:b/>
          <w:sz w:val="32"/>
          <w:szCs w:val="32"/>
        </w:rPr>
        <w:t>Тупкараганском</w:t>
      </w:r>
      <w:proofErr w:type="spellEnd"/>
      <w:r w:rsidRPr="00492C98">
        <w:rPr>
          <w:rFonts w:ascii="Times New Roman" w:hAnsi="Times New Roman" w:cs="Times New Roman"/>
          <w:b/>
          <w:sz w:val="32"/>
          <w:szCs w:val="32"/>
        </w:rPr>
        <w:t xml:space="preserve"> районе </w:t>
      </w:r>
      <w:proofErr w:type="spellStart"/>
      <w:r w:rsidRPr="00492C98">
        <w:rPr>
          <w:rFonts w:ascii="Times New Roman" w:hAnsi="Times New Roman" w:cs="Times New Roman"/>
          <w:b/>
          <w:sz w:val="32"/>
          <w:szCs w:val="32"/>
        </w:rPr>
        <w:t>Мангистауской</w:t>
      </w:r>
      <w:proofErr w:type="spellEnd"/>
      <w:r w:rsidRPr="00492C98">
        <w:rPr>
          <w:rFonts w:ascii="Times New Roman" w:hAnsi="Times New Roman" w:cs="Times New Roman"/>
          <w:b/>
          <w:sz w:val="32"/>
          <w:szCs w:val="32"/>
        </w:rPr>
        <w:t xml:space="preserve"> области Республики Казахстан</w:t>
      </w:r>
      <w:r w:rsidR="00CB741F" w:rsidRPr="005429C0">
        <w:rPr>
          <w:rFonts w:ascii="Times New Roman" w:hAnsi="Times New Roman" w:cs="Times New Roman"/>
          <w:b/>
          <w:sz w:val="32"/>
          <w:szCs w:val="32"/>
        </w:rPr>
        <w:t>»</w:t>
      </w:r>
    </w:p>
    <w:p w:rsidR="00CB741F" w:rsidRPr="006E354B" w:rsidRDefault="00CB741F" w:rsidP="00CB741F">
      <w:pPr>
        <w:pStyle w:val="ac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741F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C7AC4" w:rsidRPr="003C7A2F" w:rsidRDefault="00CC7AC4" w:rsidP="009D4C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2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Введение</w:t>
      </w:r>
    </w:p>
    <w:p w:rsidR="004C72A3" w:rsidRPr="004C72A3" w:rsidRDefault="004C72A3" w:rsidP="004C72A3">
      <w:pPr>
        <w:pStyle w:val="a6"/>
        <w:rPr>
          <w:sz w:val="24"/>
        </w:rPr>
      </w:pPr>
      <w:r w:rsidRPr="004C72A3">
        <w:rPr>
          <w:sz w:val="24"/>
        </w:rPr>
        <w:t xml:space="preserve">Настоящим Планом предусматривается производство горных работ по добыче  мергеля (грунта) на месторождении Каламкас-3 в </w:t>
      </w:r>
      <w:proofErr w:type="spellStart"/>
      <w:r w:rsidRPr="004C72A3">
        <w:rPr>
          <w:sz w:val="24"/>
        </w:rPr>
        <w:t>Тупкараганском</w:t>
      </w:r>
      <w:proofErr w:type="spellEnd"/>
      <w:r w:rsidRPr="004C72A3">
        <w:rPr>
          <w:sz w:val="24"/>
        </w:rPr>
        <w:t xml:space="preserve"> районе </w:t>
      </w:r>
      <w:proofErr w:type="spellStart"/>
      <w:r w:rsidRPr="004C72A3">
        <w:rPr>
          <w:sz w:val="24"/>
        </w:rPr>
        <w:t>Мангистауской</w:t>
      </w:r>
      <w:proofErr w:type="spellEnd"/>
      <w:r w:rsidRPr="004C72A3">
        <w:rPr>
          <w:sz w:val="24"/>
        </w:rPr>
        <w:t xml:space="preserve"> области. Заказчиком проекта является ТОО «</w:t>
      </w:r>
      <w:proofErr w:type="spellStart"/>
      <w:r w:rsidRPr="004C72A3">
        <w:rPr>
          <w:sz w:val="24"/>
        </w:rPr>
        <w:t>Oil</w:t>
      </w:r>
      <w:proofErr w:type="spellEnd"/>
      <w:r w:rsidRPr="004C72A3">
        <w:rPr>
          <w:sz w:val="24"/>
        </w:rPr>
        <w:t xml:space="preserve"> </w:t>
      </w:r>
      <w:proofErr w:type="spellStart"/>
      <w:r w:rsidRPr="004C72A3">
        <w:rPr>
          <w:sz w:val="24"/>
        </w:rPr>
        <w:t>Construction</w:t>
      </w:r>
      <w:proofErr w:type="spellEnd"/>
      <w:r w:rsidRPr="004C72A3">
        <w:rPr>
          <w:sz w:val="24"/>
        </w:rPr>
        <w:t xml:space="preserve"> </w:t>
      </w:r>
      <w:proofErr w:type="spellStart"/>
      <w:r w:rsidRPr="004C72A3">
        <w:rPr>
          <w:sz w:val="24"/>
        </w:rPr>
        <w:t>Company</w:t>
      </w:r>
      <w:proofErr w:type="spellEnd"/>
      <w:r w:rsidRPr="004C72A3">
        <w:rPr>
          <w:sz w:val="24"/>
        </w:rPr>
        <w:t>», запрашивающее право на разработку  мергеля (грунта) карьера.</w:t>
      </w:r>
    </w:p>
    <w:p w:rsidR="004C72A3" w:rsidRPr="004C72A3" w:rsidRDefault="004C72A3" w:rsidP="004C72A3">
      <w:pPr>
        <w:pStyle w:val="a6"/>
        <w:rPr>
          <w:sz w:val="24"/>
        </w:rPr>
      </w:pPr>
      <w:r w:rsidRPr="004C72A3">
        <w:rPr>
          <w:sz w:val="24"/>
        </w:rPr>
        <w:t xml:space="preserve">Содержание и форма плана </w:t>
      </w:r>
      <w:proofErr w:type="gramStart"/>
      <w:r w:rsidRPr="004C72A3">
        <w:rPr>
          <w:sz w:val="24"/>
        </w:rPr>
        <w:t>приняты</w:t>
      </w:r>
      <w:proofErr w:type="gramEnd"/>
      <w:r w:rsidRPr="004C72A3">
        <w:rPr>
          <w:sz w:val="24"/>
        </w:rPr>
        <w:t xml:space="preserve"> в соответствии с Техническим заданием Заказчика и действующими нормативными документами. </w:t>
      </w:r>
    </w:p>
    <w:p w:rsidR="004C72A3" w:rsidRPr="004C72A3" w:rsidRDefault="004C72A3" w:rsidP="004C72A3">
      <w:pPr>
        <w:pStyle w:val="a6"/>
        <w:rPr>
          <w:sz w:val="24"/>
        </w:rPr>
      </w:pPr>
      <w:r w:rsidRPr="004C72A3">
        <w:rPr>
          <w:sz w:val="24"/>
        </w:rPr>
        <w:t xml:space="preserve">Добываемое сырье -   мергеля (грунта) будет использоваться для строительных работ в регионе. </w:t>
      </w:r>
    </w:p>
    <w:p w:rsidR="004C72A3" w:rsidRPr="004C72A3" w:rsidRDefault="004C72A3" w:rsidP="004C72A3">
      <w:pPr>
        <w:pStyle w:val="a6"/>
        <w:rPr>
          <w:b/>
          <w:sz w:val="24"/>
        </w:rPr>
      </w:pPr>
      <w:r w:rsidRPr="004C72A3">
        <w:rPr>
          <w:b/>
          <w:sz w:val="24"/>
        </w:rPr>
        <w:t>Срок эксплуатации карьера по данному Плану – 9 лет (2026-2034 гг.).</w:t>
      </w:r>
    </w:p>
    <w:p w:rsidR="004C72A3" w:rsidRPr="004C72A3" w:rsidRDefault="004C72A3" w:rsidP="004C72A3">
      <w:pPr>
        <w:pStyle w:val="a6"/>
        <w:rPr>
          <w:sz w:val="24"/>
        </w:rPr>
      </w:pPr>
      <w:r w:rsidRPr="004C72A3">
        <w:rPr>
          <w:sz w:val="24"/>
        </w:rPr>
        <w:t>Проектируемые к отработке запасы находятся на Государственном балансе и их количество по состоянию на 01.10.2026 г. составляет по 5517,6 тыс. м3. На их отработку имеется Лицензия площадью 0,698 км</w:t>
      </w:r>
      <w:proofErr w:type="gramStart"/>
      <w:r w:rsidRPr="004C72A3">
        <w:rPr>
          <w:sz w:val="24"/>
        </w:rPr>
        <w:t>2</w:t>
      </w:r>
      <w:proofErr w:type="gramEnd"/>
      <w:r w:rsidRPr="004C72A3">
        <w:rPr>
          <w:sz w:val="24"/>
        </w:rPr>
        <w:t>.</w:t>
      </w:r>
    </w:p>
    <w:p w:rsidR="004C72A3" w:rsidRDefault="004C72A3" w:rsidP="004C72A3">
      <w:pPr>
        <w:pStyle w:val="a6"/>
        <w:rPr>
          <w:sz w:val="24"/>
          <w:lang w:val="kk-KZ"/>
        </w:rPr>
      </w:pPr>
      <w:r w:rsidRPr="004C72A3">
        <w:rPr>
          <w:sz w:val="24"/>
        </w:rPr>
        <w:t xml:space="preserve">По данному плану будет отработана часть запасов полезного ископаемого в общем объеме 2360,0 тыс.м3. С учетом потерь, общие эксплуатационные запасы составляют 2360,0 тыс. м3 (4979,6 тыс.т). </w:t>
      </w:r>
    </w:p>
    <w:p w:rsidR="0072494B" w:rsidRPr="003C7A2F" w:rsidRDefault="0072494B" w:rsidP="004C72A3">
      <w:pPr>
        <w:pStyle w:val="a6"/>
        <w:rPr>
          <w:b/>
          <w:bCs/>
        </w:rPr>
      </w:pPr>
      <w:r w:rsidRPr="003C7A2F">
        <w:rPr>
          <w:b/>
          <w:bCs/>
        </w:rPr>
        <w:t>Рабочая часть проекта разработана ТОО «</w:t>
      </w:r>
      <w:proofErr w:type="spellStart"/>
      <w:r w:rsidRPr="003C7A2F">
        <w:rPr>
          <w:b/>
          <w:bCs/>
        </w:rPr>
        <w:t>Актау-ГеоЭкоСервис</w:t>
      </w:r>
      <w:proofErr w:type="spellEnd"/>
      <w:r w:rsidRPr="003C7A2F">
        <w:rPr>
          <w:b/>
          <w:bCs/>
        </w:rPr>
        <w:t xml:space="preserve">». </w:t>
      </w:r>
    </w:p>
    <w:p w:rsidR="00CC7AC4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C7AC4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7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Учет общественного мнения</w:t>
      </w:r>
    </w:p>
    <w:p w:rsidR="00CC7AC4" w:rsidRPr="002660F5" w:rsidRDefault="003803F0" w:rsidP="00CC7AC4">
      <w:pPr>
        <w:pStyle w:val="Default"/>
        <w:ind w:firstLine="708"/>
        <w:jc w:val="both"/>
        <w:rPr>
          <w:sz w:val="28"/>
          <w:szCs w:val="28"/>
        </w:rPr>
      </w:pPr>
      <w:r w:rsidRPr="003803F0">
        <w:rPr>
          <w:sz w:val="28"/>
          <w:szCs w:val="28"/>
        </w:rPr>
        <w:t>ТОО «</w:t>
      </w:r>
      <w:proofErr w:type="spellStart"/>
      <w:r w:rsidRPr="003803F0">
        <w:rPr>
          <w:sz w:val="28"/>
          <w:szCs w:val="28"/>
        </w:rPr>
        <w:t>Oil</w:t>
      </w:r>
      <w:proofErr w:type="spellEnd"/>
      <w:r w:rsidRPr="003803F0">
        <w:rPr>
          <w:sz w:val="28"/>
          <w:szCs w:val="28"/>
        </w:rPr>
        <w:t xml:space="preserve"> </w:t>
      </w:r>
      <w:proofErr w:type="spellStart"/>
      <w:r w:rsidRPr="003803F0">
        <w:rPr>
          <w:sz w:val="28"/>
          <w:szCs w:val="28"/>
        </w:rPr>
        <w:t>Construction</w:t>
      </w:r>
      <w:proofErr w:type="spellEnd"/>
      <w:r w:rsidRPr="003803F0">
        <w:rPr>
          <w:sz w:val="28"/>
          <w:szCs w:val="28"/>
        </w:rPr>
        <w:t xml:space="preserve"> </w:t>
      </w:r>
      <w:proofErr w:type="spellStart"/>
      <w:r w:rsidRPr="003803F0">
        <w:rPr>
          <w:sz w:val="28"/>
          <w:szCs w:val="28"/>
        </w:rPr>
        <w:t>Company</w:t>
      </w:r>
      <w:proofErr w:type="spellEnd"/>
      <w:r w:rsidRPr="003803F0"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</w:t>
      </w:r>
      <w:r w:rsidR="00CC7AC4" w:rsidRPr="002660F5">
        <w:rPr>
          <w:sz w:val="28"/>
          <w:szCs w:val="28"/>
        </w:rPr>
        <w:t xml:space="preserve">декларирует политику открытости социальной и экологической ответственности.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Общественные обсуждения проводятся в целях: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информирования населения по вопросам прогнозируемой деятельности;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учета замечаний и предложений общественности по вопросам охраны окружающей среды в процессе принятия решений, касающихся реализации планируемой деятельности;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- поиска взаимоприемлемых для заказчика и общественности решений в вопросах предотвращения или минимизации вредного воздействия на окружающую среду при реализации планируемой деятельности. </w:t>
      </w:r>
    </w:p>
    <w:p w:rsidR="00CC7AC4" w:rsidRPr="002660F5" w:rsidRDefault="00CC7AC4" w:rsidP="00CC7AC4">
      <w:pPr>
        <w:pStyle w:val="Default"/>
        <w:ind w:firstLine="708"/>
        <w:jc w:val="both"/>
        <w:rPr>
          <w:sz w:val="28"/>
          <w:szCs w:val="28"/>
        </w:rPr>
      </w:pPr>
      <w:r w:rsidRPr="002660F5">
        <w:rPr>
          <w:sz w:val="28"/>
          <w:szCs w:val="28"/>
        </w:rPr>
        <w:t xml:space="preserve">Общественные обсуждения осуществляются посредством: </w:t>
      </w:r>
    </w:p>
    <w:p w:rsidR="00CC7AC4" w:rsidRPr="002660F5" w:rsidRDefault="00CC7AC4" w:rsidP="00CC7AC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0F5">
        <w:rPr>
          <w:rFonts w:ascii="Times New Roman" w:hAnsi="Times New Roman" w:cs="Times New Roman"/>
          <w:sz w:val="28"/>
          <w:szCs w:val="28"/>
        </w:rPr>
        <w:t>- ознакомления общественности с проектными материалами и документирования высказанных замечаний и предложений.</w:t>
      </w:r>
    </w:p>
    <w:p w:rsidR="00CC7AC4" w:rsidRPr="00CC7AC4" w:rsidRDefault="00CC7AC4" w:rsidP="00CC7AC4">
      <w:pPr>
        <w:pStyle w:val="Default"/>
        <w:spacing w:before="120" w:after="120"/>
        <w:jc w:val="both"/>
        <w:rPr>
          <w:b/>
          <w:bCs/>
          <w:i/>
        </w:rPr>
      </w:pPr>
      <w:r w:rsidRPr="00CC7AC4">
        <w:rPr>
          <w:b/>
          <w:bCs/>
          <w:i/>
        </w:rPr>
        <w:t xml:space="preserve">Законодательные и административные требования </w:t>
      </w:r>
    </w:p>
    <w:p w:rsidR="003C7A2F" w:rsidRDefault="00CC7AC4" w:rsidP="003C7A2F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C7AC4">
        <w:rPr>
          <w:rFonts w:ascii="Times New Roman" w:hAnsi="Times New Roman" w:cs="Times New Roman"/>
          <w:bCs/>
          <w:sz w:val="24"/>
          <w:szCs w:val="24"/>
        </w:rPr>
        <w:t>При выполнении проекта использовались проектные материалы:</w:t>
      </w:r>
    </w:p>
    <w:p w:rsidR="00CC7AC4" w:rsidRPr="004C72A3" w:rsidRDefault="004C72A3" w:rsidP="004C72A3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Проект </w:t>
      </w:r>
      <w:r w:rsidRPr="004C72A3">
        <w:rPr>
          <w:rFonts w:ascii="Times New Roman" w:hAnsi="Times New Roman" w:cs="Times New Roman"/>
          <w:bCs/>
          <w:sz w:val="28"/>
          <w:szCs w:val="28"/>
        </w:rPr>
        <w:t>«План горных работ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C72A3">
        <w:rPr>
          <w:rFonts w:ascii="Times New Roman" w:hAnsi="Times New Roman" w:cs="Times New Roman"/>
          <w:bCs/>
          <w:sz w:val="28"/>
          <w:szCs w:val="28"/>
        </w:rPr>
        <w:t xml:space="preserve">по добыче  мергеля (грунта) на месторождении Каламкас-3 в </w:t>
      </w:r>
      <w:proofErr w:type="spellStart"/>
      <w:r w:rsidRPr="004C72A3">
        <w:rPr>
          <w:rFonts w:ascii="Times New Roman" w:hAnsi="Times New Roman" w:cs="Times New Roman"/>
          <w:bCs/>
          <w:sz w:val="28"/>
          <w:szCs w:val="28"/>
        </w:rPr>
        <w:t>Тупкараганском</w:t>
      </w:r>
      <w:proofErr w:type="spellEnd"/>
      <w:r w:rsidRPr="004C72A3">
        <w:rPr>
          <w:rFonts w:ascii="Times New Roman" w:hAnsi="Times New Roman" w:cs="Times New Roman"/>
          <w:bCs/>
          <w:sz w:val="28"/>
          <w:szCs w:val="28"/>
        </w:rPr>
        <w:t xml:space="preserve"> районе </w:t>
      </w:r>
      <w:proofErr w:type="spellStart"/>
      <w:r w:rsidRPr="004C72A3">
        <w:rPr>
          <w:rFonts w:ascii="Times New Roman" w:hAnsi="Times New Roman" w:cs="Times New Roman"/>
          <w:bCs/>
          <w:sz w:val="28"/>
          <w:szCs w:val="28"/>
        </w:rPr>
        <w:t>Мангистауской</w:t>
      </w:r>
      <w:proofErr w:type="spellEnd"/>
      <w:r w:rsidRPr="004C72A3">
        <w:rPr>
          <w:rFonts w:ascii="Times New Roman" w:hAnsi="Times New Roman" w:cs="Times New Roman"/>
          <w:bCs/>
          <w:sz w:val="28"/>
          <w:szCs w:val="28"/>
        </w:rPr>
        <w:t xml:space="preserve"> области Республики Казахстан»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C7AC4" w:rsidRPr="00744359">
        <w:rPr>
          <w:rFonts w:ascii="Times New Roman" w:hAnsi="Times New Roman" w:cs="Times New Roman"/>
          <w:sz w:val="28"/>
          <w:szCs w:val="28"/>
          <w:lang w:val="kk-KZ"/>
        </w:rPr>
        <w:t xml:space="preserve">разработан в соответствии с действующими в Республике Казахстан законами и законодательными актами, «Инструкцией по составлению плана горных работ», Кодекса «О недрах и недропользовании»и другими государственными нормативными </w:t>
      </w:r>
      <w:r w:rsidR="00CC7AC4" w:rsidRPr="00744359">
        <w:rPr>
          <w:rFonts w:ascii="Times New Roman" w:hAnsi="Times New Roman" w:cs="Times New Roman"/>
          <w:sz w:val="28"/>
          <w:szCs w:val="28"/>
          <w:lang w:val="kk-KZ"/>
        </w:rPr>
        <w:lastRenderedPageBreak/>
        <w:t>требованиями и межгосударственными нормативами, действующими в Республике Казахстан.</w:t>
      </w:r>
    </w:p>
    <w:p w:rsidR="00DF4199" w:rsidRPr="00744359" w:rsidRDefault="00DF4199" w:rsidP="003803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4359">
        <w:rPr>
          <w:rFonts w:ascii="Times New Roman" w:hAnsi="Times New Roman" w:cs="Times New Roman"/>
          <w:b/>
          <w:bCs/>
          <w:i/>
          <w:sz w:val="28"/>
          <w:szCs w:val="28"/>
        </w:rPr>
        <w:t>Оценка современного состояния окружающей среды и социально-экономических условий</w:t>
      </w:r>
    </w:p>
    <w:p w:rsidR="004C72A3" w:rsidRPr="004C72A3" w:rsidRDefault="004C72A3" w:rsidP="004C72A3">
      <w:pPr>
        <w:pStyle w:val="Default"/>
        <w:spacing w:before="120" w:after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4C72A3">
        <w:rPr>
          <w:rFonts w:eastAsia="Times New Roman"/>
          <w:color w:val="auto"/>
          <w:sz w:val="28"/>
          <w:szCs w:val="28"/>
          <w:lang w:eastAsia="ru-RU"/>
        </w:rPr>
        <w:t>Месторождение мергеля (грунта) «Каламкас-3» разведано ТОО «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ЗапКазРесурс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» в 2022 году (Протокол № 688 заседание ЗК МКЗ «Отчет о результатах геологоразведочных работ с подсчетом запасов мергеля, как грунта для строительных работ на проявлении Каламкас-3, в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Мангистауском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 районе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Мангистауской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 области РК., выполненных в 2022 г. по Лицензии №923-EL от 10 ноября 2020г.»).</w:t>
      </w:r>
    </w:p>
    <w:p w:rsidR="004C72A3" w:rsidRPr="004C72A3" w:rsidRDefault="004C72A3" w:rsidP="004C72A3">
      <w:pPr>
        <w:pStyle w:val="Default"/>
        <w:spacing w:before="120" w:after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Оно расположено на полуострове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Бузачи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, на территории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Тупкараганского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 района (центр </w:t>
      </w:r>
      <w:proofErr w:type="gramStart"/>
      <w:r w:rsidRPr="004C72A3">
        <w:rPr>
          <w:rFonts w:eastAsia="Times New Roman"/>
          <w:color w:val="auto"/>
          <w:sz w:val="28"/>
          <w:szCs w:val="28"/>
          <w:lang w:eastAsia="ru-RU"/>
        </w:rPr>
        <w:t>г</w:t>
      </w:r>
      <w:proofErr w:type="gram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. Форт-Шевченко)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Мангистауской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 области. От областного центра </w:t>
      </w:r>
      <w:proofErr w:type="gramStart"/>
      <w:r w:rsidRPr="004C72A3">
        <w:rPr>
          <w:rFonts w:eastAsia="Times New Roman"/>
          <w:color w:val="auto"/>
          <w:sz w:val="28"/>
          <w:szCs w:val="28"/>
          <w:lang w:eastAsia="ru-RU"/>
        </w:rPr>
        <w:t>г</w:t>
      </w:r>
      <w:proofErr w:type="gram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. Актау месторождение находится  на расстоянии 180 км, а от вахтового поселка нефтяников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Каламкас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 - на расстоянии 24 км юго-восточнее. Посёлок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Каламкас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 соединён с областным центром автотрассой Актау </w:t>
      </w:r>
      <w:proofErr w:type="gramStart"/>
      <w:r w:rsidRPr="004C72A3">
        <w:rPr>
          <w:rFonts w:eastAsia="Times New Roman"/>
          <w:color w:val="auto"/>
          <w:sz w:val="28"/>
          <w:szCs w:val="28"/>
          <w:lang w:eastAsia="ru-RU"/>
        </w:rPr>
        <w:t>–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К</w:t>
      </w:r>
      <w:proofErr w:type="gramEnd"/>
      <w:r w:rsidRPr="004C72A3">
        <w:rPr>
          <w:rFonts w:eastAsia="Times New Roman"/>
          <w:color w:val="auto"/>
          <w:sz w:val="28"/>
          <w:szCs w:val="28"/>
          <w:lang w:eastAsia="ru-RU"/>
        </w:rPr>
        <w:t>аражанбас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-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Каламкас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. </w:t>
      </w:r>
    </w:p>
    <w:p w:rsidR="004C72A3" w:rsidRPr="004C72A3" w:rsidRDefault="004C72A3" w:rsidP="004C72A3">
      <w:pPr>
        <w:pStyle w:val="Default"/>
        <w:spacing w:before="120" w:after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Проектируемый карьер располагается на позднехвалынской аккумулятивной равнине с абсолютными отметками от -23,7 м до -18,3 м. </w:t>
      </w:r>
    </w:p>
    <w:p w:rsidR="004C72A3" w:rsidRPr="004C72A3" w:rsidRDefault="004C72A3" w:rsidP="004C72A3">
      <w:pPr>
        <w:pStyle w:val="Default"/>
        <w:spacing w:before="120" w:after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4C72A3">
        <w:rPr>
          <w:rFonts w:eastAsia="Times New Roman"/>
          <w:color w:val="auto"/>
          <w:sz w:val="28"/>
          <w:szCs w:val="28"/>
          <w:lang w:eastAsia="ru-RU"/>
        </w:rPr>
        <w:t>Растительный покров и животный мир по видовому составу беден и характерен для зоны пустынь и полупустынь.</w:t>
      </w:r>
    </w:p>
    <w:p w:rsidR="004C72A3" w:rsidRPr="004C72A3" w:rsidRDefault="004C72A3" w:rsidP="004C72A3">
      <w:pPr>
        <w:pStyle w:val="Default"/>
        <w:spacing w:before="120" w:after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4C72A3">
        <w:rPr>
          <w:rFonts w:eastAsia="Times New Roman"/>
          <w:color w:val="auto"/>
          <w:sz w:val="28"/>
          <w:szCs w:val="28"/>
          <w:lang w:eastAsia="ru-RU"/>
        </w:rPr>
        <w:t>Постоянная гидрографическая сеть отсутствует. Временные водотоки появляются только при ливнях, случающихся   весной и осенью, и при интенсивном снеготаянии.</w:t>
      </w:r>
    </w:p>
    <w:p w:rsidR="004C72A3" w:rsidRPr="004C72A3" w:rsidRDefault="004C72A3" w:rsidP="004C72A3">
      <w:pPr>
        <w:pStyle w:val="Default"/>
        <w:spacing w:before="120" w:after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Климат района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резкоконтинентальный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>. Жаркое засушливое лето, относительно морозная малоснежная зима. Характерны резкие колебания суточных и месячных температур и малое количество атмосферных осадков, годовая величина которых по данным метеостанции Форт-Шевченко не превышает 130-160 мм. Среднегодовая температура +11оС. Максимальная температура фиксируется в июле (+45оС), минимальная - в феврале (до -29оС). Для района характерны постоянно дующие ветры, преимущественно восточных румбов, средняя скорость ветра  1,4-4,2 м/сек, максимальная 17-20 м/сек. Снежный покров образуется в декабре, сходит в марте. Толщина его незначительная и едва достигает 12 см, в отдельные годы вовсе отсутствует. Глубина промерзания грунта до 0,8-1,1 м.</w:t>
      </w:r>
    </w:p>
    <w:p w:rsidR="004C72A3" w:rsidRPr="004C72A3" w:rsidRDefault="004C72A3" w:rsidP="004C72A3">
      <w:pPr>
        <w:pStyle w:val="Default"/>
        <w:spacing w:before="120" w:after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4C72A3">
        <w:rPr>
          <w:rFonts w:eastAsia="Times New Roman"/>
          <w:color w:val="auto"/>
          <w:sz w:val="28"/>
          <w:szCs w:val="28"/>
          <w:lang w:eastAsia="ru-RU"/>
        </w:rPr>
        <w:t>К опасным метеорологическим условиям в районе относятся густые туманы, гололед, сильные ветры, пыльные бури, а также кратковременные сильные ливни осенью и весной.</w:t>
      </w:r>
    </w:p>
    <w:p w:rsidR="004C72A3" w:rsidRPr="004C72A3" w:rsidRDefault="004C72A3" w:rsidP="004C72A3">
      <w:pPr>
        <w:pStyle w:val="Default"/>
        <w:spacing w:before="120" w:after="120"/>
        <w:ind w:firstLine="709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Естественных источников водоснабжения в районе нет. Обеспечение питьевой и технической водой может осуществляться путем ее завоза с пос. </w:t>
      </w:r>
      <w:proofErr w:type="spellStart"/>
      <w:r w:rsidRPr="004C72A3">
        <w:rPr>
          <w:rFonts w:eastAsia="Times New Roman"/>
          <w:color w:val="auto"/>
          <w:sz w:val="28"/>
          <w:szCs w:val="28"/>
          <w:lang w:eastAsia="ru-RU"/>
        </w:rPr>
        <w:t>Каламкас</w:t>
      </w:r>
      <w:proofErr w:type="spellEnd"/>
      <w:r w:rsidRPr="004C72A3">
        <w:rPr>
          <w:rFonts w:eastAsia="Times New Roman"/>
          <w:color w:val="auto"/>
          <w:sz w:val="28"/>
          <w:szCs w:val="28"/>
          <w:lang w:eastAsia="ru-RU"/>
        </w:rPr>
        <w:t xml:space="preserve">. </w:t>
      </w:r>
    </w:p>
    <w:p w:rsidR="004C72A3" w:rsidRDefault="004C72A3" w:rsidP="004C72A3">
      <w:pPr>
        <w:pStyle w:val="Default"/>
        <w:spacing w:before="120" w:after="120"/>
        <w:ind w:firstLine="709"/>
        <w:jc w:val="both"/>
        <w:rPr>
          <w:rFonts w:eastAsia="Times New Roman"/>
          <w:color w:val="auto"/>
          <w:sz w:val="28"/>
          <w:szCs w:val="28"/>
          <w:lang w:val="kk-KZ" w:eastAsia="ru-RU"/>
        </w:rPr>
      </w:pPr>
      <w:r w:rsidRPr="004C72A3">
        <w:rPr>
          <w:rFonts w:eastAsia="Times New Roman"/>
          <w:color w:val="auto"/>
          <w:sz w:val="28"/>
          <w:szCs w:val="28"/>
          <w:lang w:eastAsia="ru-RU"/>
        </w:rPr>
        <w:t>На площади месторождения здания и сооружения отсутствуют.</w:t>
      </w:r>
    </w:p>
    <w:p w:rsidR="002A1DE8" w:rsidRPr="00744359" w:rsidRDefault="002A1DE8" w:rsidP="004C72A3">
      <w:pPr>
        <w:pStyle w:val="Default"/>
        <w:spacing w:before="120" w:after="120"/>
        <w:ind w:firstLine="709"/>
        <w:jc w:val="both"/>
        <w:rPr>
          <w:b/>
          <w:bCs/>
          <w:i/>
        </w:rPr>
      </w:pPr>
      <w:r w:rsidRPr="00744359">
        <w:rPr>
          <w:b/>
          <w:bCs/>
          <w:i/>
        </w:rPr>
        <w:lastRenderedPageBreak/>
        <w:t>Характеристика вредных физических воздействий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В процессе  разработки месторождения на месте производства горных работ почвы, имеющие низкий качественный состав, претерпевают значительное техногенное воздействие, обусловленное как непосредственно собственно технологическим процессом, так  и сопутствующими ему вспомогательными операциями.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Исходя из технологического процесса разработки карьера, в пределах исследуемой площади будут проявляться  следующие типы техногенного воздействия:</w:t>
      </w:r>
    </w:p>
    <w:p w:rsidR="00744359" w:rsidRPr="00EC3FBF" w:rsidRDefault="00744359" w:rsidP="00744359">
      <w:pPr>
        <w:pStyle w:val="a6"/>
        <w:numPr>
          <w:ilvl w:val="0"/>
          <w:numId w:val="6"/>
        </w:numPr>
        <w:rPr>
          <w:spacing w:val="5"/>
          <w:sz w:val="24"/>
        </w:rPr>
      </w:pPr>
      <w:r w:rsidRPr="00EC3FBF">
        <w:rPr>
          <w:spacing w:val="5"/>
          <w:sz w:val="24"/>
        </w:rPr>
        <w:t>химическое загрязнение;</w:t>
      </w:r>
    </w:p>
    <w:p w:rsidR="00744359" w:rsidRPr="00EC3FBF" w:rsidRDefault="00744359" w:rsidP="00744359">
      <w:pPr>
        <w:pStyle w:val="a6"/>
        <w:numPr>
          <w:ilvl w:val="0"/>
          <w:numId w:val="6"/>
        </w:numPr>
        <w:rPr>
          <w:spacing w:val="5"/>
          <w:sz w:val="24"/>
        </w:rPr>
      </w:pPr>
      <w:r w:rsidRPr="00EC3FBF">
        <w:rPr>
          <w:spacing w:val="5"/>
          <w:sz w:val="24"/>
        </w:rPr>
        <w:t>физико-механическое воздействие.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>Химическое воздействие на почвы на ограниченной площади могут возникнуть в результате аварийных разливов ГСМ.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Физико-механическое воздействие на почвенный покров будут оказывать  проведение вскрышных, </w:t>
      </w:r>
      <w:proofErr w:type="spellStart"/>
      <w:r w:rsidRPr="00EC3FBF">
        <w:rPr>
          <w:spacing w:val="5"/>
          <w:sz w:val="24"/>
        </w:rPr>
        <w:t>зачистных</w:t>
      </w:r>
      <w:proofErr w:type="spellEnd"/>
      <w:r w:rsidRPr="00EC3FBF">
        <w:rPr>
          <w:spacing w:val="5"/>
          <w:sz w:val="24"/>
        </w:rPr>
        <w:t xml:space="preserve">, добычных работ в пределах отведенного участка, при строительстве дорог и т.д. 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r w:rsidRPr="00EC3FBF">
        <w:rPr>
          <w:spacing w:val="5"/>
          <w:sz w:val="24"/>
        </w:rPr>
        <w:t xml:space="preserve">В ходе и после окончания  разработки  должны проводиться  работы по рекультивации отвалов и других нарушенных земель, так как участки нарушенного почвенного покрова в условиях пустынной зоны без проведения </w:t>
      </w:r>
      <w:proofErr w:type="spellStart"/>
      <w:r w:rsidRPr="00EC3FBF">
        <w:rPr>
          <w:spacing w:val="5"/>
          <w:sz w:val="24"/>
        </w:rPr>
        <w:t>рекультивационных</w:t>
      </w:r>
      <w:proofErr w:type="spellEnd"/>
      <w:r w:rsidRPr="00EC3FBF">
        <w:rPr>
          <w:spacing w:val="5"/>
          <w:sz w:val="24"/>
        </w:rPr>
        <w:t xml:space="preserve"> мероприятий восстанавливаются очень медленно.</w:t>
      </w:r>
    </w:p>
    <w:p w:rsidR="00744359" w:rsidRPr="00EC3FBF" w:rsidRDefault="00744359" w:rsidP="00744359">
      <w:pPr>
        <w:pStyle w:val="a6"/>
        <w:rPr>
          <w:spacing w:val="5"/>
          <w:sz w:val="24"/>
        </w:rPr>
      </w:pPr>
      <w:proofErr w:type="gramStart"/>
      <w:r w:rsidRPr="00EC3FBF">
        <w:rPr>
          <w:spacing w:val="5"/>
          <w:sz w:val="24"/>
        </w:rPr>
        <w:t>Воздействие на земельные ресурсы и почвы при разработке карьера оценивается в пространственном масштабе как локальное, во временном - как длительное  и по величине - как незначительное.</w:t>
      </w:r>
      <w:proofErr w:type="gramEnd"/>
    </w:p>
    <w:p w:rsidR="00744359" w:rsidRDefault="00744359" w:rsidP="00401E01">
      <w:pPr>
        <w:pStyle w:val="Default"/>
        <w:ind w:firstLine="709"/>
        <w:jc w:val="center"/>
        <w:rPr>
          <w:i/>
        </w:rPr>
      </w:pPr>
    </w:p>
    <w:p w:rsidR="003C7A2F" w:rsidRPr="00744359" w:rsidRDefault="002A1DE8" w:rsidP="00401E01">
      <w:pPr>
        <w:pStyle w:val="Default"/>
        <w:ind w:firstLine="709"/>
        <w:jc w:val="center"/>
        <w:rPr>
          <w:b/>
          <w:bCs/>
          <w:i/>
        </w:rPr>
      </w:pPr>
      <w:r w:rsidRPr="00744359">
        <w:rPr>
          <w:b/>
          <w:bCs/>
          <w:i/>
        </w:rPr>
        <w:t>Краткая характеристика планируемой деятельности</w:t>
      </w:r>
    </w:p>
    <w:p w:rsidR="00982EF7" w:rsidRPr="00401E01" w:rsidRDefault="00982EF7" w:rsidP="00401E01">
      <w:pPr>
        <w:pStyle w:val="Default"/>
        <w:ind w:firstLine="709"/>
        <w:jc w:val="center"/>
        <w:rPr>
          <w:spacing w:val="5"/>
          <w:highlight w:val="yellow"/>
        </w:rPr>
      </w:pPr>
    </w:p>
    <w:p w:rsidR="003C7A2F" w:rsidRPr="00401E01" w:rsidRDefault="003C7A2F" w:rsidP="00401E01">
      <w:pPr>
        <w:pStyle w:val="2"/>
        <w:numPr>
          <w:ilvl w:val="0"/>
          <w:numId w:val="0"/>
        </w:numPr>
        <w:spacing w:before="0" w:after="0"/>
        <w:ind w:hanging="576"/>
        <w:jc w:val="center"/>
        <w:rPr>
          <w:rFonts w:ascii="Times New Roman" w:hAnsi="Times New Roman" w:cs="Times New Roman"/>
        </w:rPr>
      </w:pPr>
      <w:bookmarkStart w:id="0" w:name="_Toc489436819"/>
      <w:bookmarkStart w:id="1" w:name="_Toc139109825"/>
      <w:r w:rsidRPr="00401E01">
        <w:rPr>
          <w:rFonts w:ascii="Times New Roman" w:hAnsi="Times New Roman" w:cs="Times New Roman"/>
        </w:rPr>
        <w:t>Основные технико-экономические показатели горного производства</w:t>
      </w:r>
      <w:bookmarkEnd w:id="0"/>
      <w:bookmarkEnd w:id="1"/>
    </w:p>
    <w:p w:rsidR="00C43BB0" w:rsidRDefault="00C43BB0" w:rsidP="00C43BB0">
      <w:pPr>
        <w:pStyle w:val="a6"/>
        <w:jc w:val="center"/>
        <w:rPr>
          <w:b/>
          <w:spacing w:val="5"/>
          <w:sz w:val="24"/>
        </w:rPr>
      </w:pPr>
      <w:r w:rsidRPr="00EE66F9">
        <w:rPr>
          <w:b/>
          <w:spacing w:val="5"/>
          <w:sz w:val="24"/>
        </w:rPr>
        <w:t>Основные технико-экономические показатели работы карьера</w:t>
      </w:r>
    </w:p>
    <w:p w:rsidR="004C72A3" w:rsidRPr="004C72A3" w:rsidRDefault="004C72A3" w:rsidP="004C72A3">
      <w:pPr>
        <w:pStyle w:val="a6"/>
        <w:spacing w:line="240" w:lineRule="auto"/>
        <w:ind w:left="0"/>
        <w:rPr>
          <w:spacing w:val="5"/>
          <w:lang w:val="kk-KZ"/>
        </w:rPr>
      </w:pPr>
      <w:r w:rsidRPr="004C72A3">
        <w:rPr>
          <w:spacing w:val="5"/>
        </w:rPr>
        <w:t>Технологические показатели горного производства определены и рассчитаны согласно условиям технического задания по годовому объему добычи, с учетом особенностей строения месторождения и горно-технологических условий отработки (таблица 5.5.1)</w:t>
      </w:r>
      <w:r w:rsidRPr="004C72A3">
        <w:rPr>
          <w:spacing w:val="5"/>
          <w:lang w:val="kk-KZ"/>
        </w:rPr>
        <w:t>.</w:t>
      </w:r>
    </w:p>
    <w:p w:rsidR="003C7A2F" w:rsidRDefault="003C7A2F" w:rsidP="00547DDC">
      <w:pPr>
        <w:pStyle w:val="a6"/>
        <w:spacing w:line="240" w:lineRule="auto"/>
        <w:ind w:left="0"/>
        <w:jc w:val="center"/>
        <w:rPr>
          <w:b/>
          <w:spacing w:val="5"/>
          <w:sz w:val="24"/>
          <w:lang w:val="kk-KZ"/>
        </w:rPr>
      </w:pPr>
      <w:r w:rsidRPr="00A273FF">
        <w:rPr>
          <w:b/>
          <w:spacing w:val="5"/>
          <w:sz w:val="24"/>
        </w:rPr>
        <w:t>Основные технико-экономические показатели работы карьера</w:t>
      </w:r>
    </w:p>
    <w:tbl>
      <w:tblPr>
        <w:tblW w:w="9350" w:type="dxa"/>
        <w:tblInd w:w="98" w:type="dxa"/>
        <w:tblLook w:val="0000"/>
      </w:tblPr>
      <w:tblGrid>
        <w:gridCol w:w="1260"/>
        <w:gridCol w:w="4510"/>
        <w:gridCol w:w="1860"/>
        <w:gridCol w:w="1720"/>
      </w:tblGrid>
      <w:tr w:rsidR="004C72A3" w:rsidRPr="004C72A3" w:rsidTr="002E00BA">
        <w:trPr>
          <w:trHeight w:val="289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показателя</w:t>
            </w:r>
          </w:p>
        </w:tc>
      </w:tr>
      <w:tr w:rsidR="004C72A3" w:rsidRPr="004C72A3" w:rsidTr="002E00BA">
        <w:trPr>
          <w:trHeight w:val="33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C72A3" w:rsidRPr="004C72A3" w:rsidTr="002E00BA">
        <w:trPr>
          <w:trHeight w:val="61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Геологические запасы в контуре карьера </w:t>
            </w:r>
          </w:p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Геологические:</w:t>
            </w:r>
          </w:p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Эксплуатационные: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5517,6</w:t>
            </w:r>
          </w:p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2360,0</w:t>
            </w:r>
          </w:p>
        </w:tc>
      </w:tr>
      <w:tr w:rsidR="004C72A3" w:rsidRPr="004C72A3" w:rsidTr="002E00BA">
        <w:trPr>
          <w:trHeight w:val="458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Потери, всего</w:t>
            </w:r>
            <w:proofErr w:type="gram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0,4</w:t>
            </w:r>
          </w:p>
        </w:tc>
      </w:tr>
      <w:tr w:rsidR="004C72A3" w:rsidRPr="004C72A3" w:rsidTr="002E00BA">
        <w:trPr>
          <w:trHeight w:val="458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72A3" w:rsidRPr="004C72A3" w:rsidTr="002E00BA">
        <w:trPr>
          <w:trHeight w:val="458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общекарьерные потери в целиках охранных зон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 тыс</w:t>
            </w:r>
            <w:proofErr w:type="gram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C72A3" w:rsidRPr="004C72A3" w:rsidTr="002E00BA">
        <w:trPr>
          <w:trHeight w:val="458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72A3" w:rsidRPr="004C72A3" w:rsidTr="002E00BA">
        <w:trPr>
          <w:trHeight w:val="6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эксплуатационные потери первой группы, в том числе: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 тыс</w:t>
            </w:r>
            <w:proofErr w:type="gram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4C72A3" w:rsidRPr="004C72A3" w:rsidTr="002E00BA">
        <w:trPr>
          <w:trHeight w:val="323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кровле полезной толщи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 тыс</w:t>
            </w:r>
            <w:proofErr w:type="gram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4C72A3" w:rsidRPr="004C72A3" w:rsidTr="002E00BA">
        <w:trPr>
          <w:trHeight w:val="37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бортах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4C72A3" w:rsidRPr="004C72A3" w:rsidTr="002E00BA">
        <w:trPr>
          <w:trHeight w:val="37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подошве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0/0</w:t>
            </w:r>
          </w:p>
        </w:tc>
      </w:tr>
      <w:tr w:rsidR="004C72A3" w:rsidRPr="004C72A3" w:rsidTr="002E00BA">
        <w:trPr>
          <w:trHeight w:val="6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Эксплуатационные потери второй группы, в том числе: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0,4/10,52</w:t>
            </w:r>
          </w:p>
        </w:tc>
      </w:tr>
      <w:tr w:rsidR="004C72A3" w:rsidRPr="004C72A3" w:rsidTr="002E00BA">
        <w:trPr>
          <w:trHeight w:val="37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 транспортных путях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0,4/10,52</w:t>
            </w:r>
          </w:p>
        </w:tc>
      </w:tr>
      <w:tr w:rsidR="004C72A3" w:rsidRPr="004C72A3" w:rsidTr="002E00BA">
        <w:trPr>
          <w:trHeight w:val="37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Разубоживание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%/тыс. м</w:t>
            </w: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4C72A3" w:rsidRPr="004C72A3" w:rsidTr="002E00BA">
        <w:trPr>
          <w:trHeight w:val="37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Эксплуатационные запасы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</w:t>
            </w: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2630</w:t>
            </w:r>
          </w:p>
        </w:tc>
      </w:tr>
      <w:tr w:rsidR="004C72A3" w:rsidRPr="004C72A3" w:rsidTr="002E00BA">
        <w:trPr>
          <w:trHeight w:val="375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вскрышных пород, всего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</w:t>
            </w: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29,8741</w:t>
            </w:r>
          </w:p>
        </w:tc>
      </w:tr>
      <w:tr w:rsidR="004C72A3" w:rsidRPr="004C72A3" w:rsidTr="002E00BA">
        <w:trPr>
          <w:trHeight w:val="63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Объем горно-капитальных и горно-подготовительных работ, всего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4C72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29,8741</w:t>
            </w:r>
          </w:p>
        </w:tc>
      </w:tr>
      <w:tr w:rsidR="004C72A3" w:rsidRPr="004C72A3" w:rsidTr="002E00BA">
        <w:trPr>
          <w:trHeight w:val="33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72A3" w:rsidRPr="004C72A3" w:rsidTr="002E00BA">
        <w:trPr>
          <w:trHeight w:val="383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 xml:space="preserve">1. На эксплуатационном этапе: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4C72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29,8741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Календарная производительность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4C72A3" w:rsidRPr="004C72A3" w:rsidTr="002E00BA">
        <w:trPr>
          <w:trHeight w:val="33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карьера: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4C72A3" w:rsidRPr="004C72A3" w:rsidTr="002E00BA">
        <w:trPr>
          <w:trHeight w:val="672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 xml:space="preserve">- по </w:t>
            </w:r>
            <w:proofErr w:type="spellStart"/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proofErr w:type="gramStart"/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скопаемому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м</w:t>
            </w: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4C72A3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2026 г</w:t>
              </w:r>
            </w:smartTag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- 200; 2027-2034 гг. - 2430</w:t>
            </w:r>
          </w:p>
        </w:tc>
      </w:tr>
      <w:tr w:rsidR="004C72A3" w:rsidRPr="004C72A3" w:rsidTr="002E00BA">
        <w:trPr>
          <w:trHeight w:val="623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-        по горной массе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4C72A3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2026 г</w:t>
              </w:r>
            </w:smartTag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- 202,53; 2027-2034 гг. - 2433,42</w:t>
            </w:r>
          </w:p>
        </w:tc>
      </w:tr>
      <w:tr w:rsidR="004C72A3" w:rsidRPr="004C72A3" w:rsidTr="002E00BA">
        <w:trPr>
          <w:trHeight w:val="33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Режим работы карьера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сезонный</w:t>
            </w:r>
          </w:p>
        </w:tc>
      </w:tr>
      <w:tr w:rsidR="004C72A3" w:rsidRPr="004C72A3" w:rsidTr="002E00BA">
        <w:trPr>
          <w:trHeight w:val="58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- рабочих суток в году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4C72A3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2026 г</w:t>
              </w:r>
            </w:smartTag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- 76; 2027-2034 гг. - 102,5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-        рабочих дней в неделю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-        рабочих смен в сутки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смен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-        продолжительность смены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4C72A3" w:rsidRPr="004C72A3" w:rsidTr="002E00BA">
        <w:trPr>
          <w:trHeight w:val="30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Применяемое оборудование на вскрыше и добыче: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 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шт.</w:t>
            </w: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Экскаватор  HITACHI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(2)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Бульдозер SD22 </w:t>
            </w:r>
            <w:proofErr w:type="spell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Шантуй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КАМАЗ-65115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(10)</w:t>
            </w:r>
          </w:p>
        </w:tc>
      </w:tr>
      <w:tr w:rsidR="004C72A3" w:rsidRPr="004C72A3" w:rsidTr="002E00BA">
        <w:trPr>
          <w:trHeight w:val="60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Списочный (явочный) состав обслуживающего персонала, всего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C72A3" w:rsidRPr="004C72A3" w:rsidTr="002E00BA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 ИТР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 (36)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4C72A3" w:rsidRPr="004C72A3" w:rsidTr="002E00BA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начальник участка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4C72A3" w:rsidRPr="004C72A3" w:rsidTr="002E00BA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горный мастер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4C72A3" w:rsidRPr="004C72A3" w:rsidTr="002E00BA">
        <w:trPr>
          <w:trHeight w:val="300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маркшейдер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геолог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рабочих: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 (34)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-     машинист экскаватора/</w:t>
            </w:r>
            <w:proofErr w:type="spell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погрузч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(2)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-        машинист бульдозера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(2)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водитель автосамосвала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 (20)</w:t>
            </w:r>
          </w:p>
        </w:tc>
      </w:tr>
      <w:tr w:rsidR="004C72A3" w:rsidRPr="004C72A3" w:rsidTr="002E00BA">
        <w:trPr>
          <w:trHeight w:val="6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 водитель поливомоечной машины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(2)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        водитель </w:t>
            </w:r>
            <w:proofErr w:type="spellStart"/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вахтовки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(2)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слесарь ремонтник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(2)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охранник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(2)</w:t>
            </w:r>
          </w:p>
        </w:tc>
      </w:tr>
      <w:tr w:rsidR="004C72A3" w:rsidRPr="004C72A3" w:rsidTr="002E00BA">
        <w:trPr>
          <w:trHeight w:val="315"/>
        </w:trPr>
        <w:tc>
          <w:tcPr>
            <w:tcW w:w="1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       техничка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72A3" w:rsidRPr="004C72A3" w:rsidRDefault="004C72A3" w:rsidP="004C72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72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(2)</w:t>
            </w:r>
          </w:p>
        </w:tc>
      </w:tr>
    </w:tbl>
    <w:p w:rsidR="0046755A" w:rsidRDefault="0046755A" w:rsidP="0046755A">
      <w:pPr>
        <w:pStyle w:val="a6"/>
        <w:rPr>
          <w:spacing w:val="5"/>
          <w:sz w:val="24"/>
          <w:lang w:val="kk-KZ"/>
        </w:rPr>
      </w:pPr>
    </w:p>
    <w:p w:rsidR="0046755A" w:rsidRPr="006006E3" w:rsidRDefault="0046755A" w:rsidP="0046755A">
      <w:pPr>
        <w:pStyle w:val="a6"/>
        <w:rPr>
          <w:spacing w:val="5"/>
          <w:sz w:val="24"/>
        </w:rPr>
      </w:pPr>
      <w:r w:rsidRPr="006006E3">
        <w:rPr>
          <w:spacing w:val="5"/>
          <w:sz w:val="24"/>
        </w:rPr>
        <w:t xml:space="preserve">По способу развития рабочей зоны при добыче </w:t>
      </w:r>
      <w:r>
        <w:rPr>
          <w:spacing w:val="5"/>
          <w:sz w:val="24"/>
        </w:rPr>
        <w:t xml:space="preserve"> мергеля (грунта)</w:t>
      </w:r>
      <w:r w:rsidRPr="006006E3">
        <w:rPr>
          <w:spacing w:val="5"/>
          <w:sz w:val="24"/>
        </w:rPr>
        <w:t xml:space="preserve"> си</w:t>
      </w:r>
      <w:r w:rsidRPr="006006E3">
        <w:rPr>
          <w:spacing w:val="5"/>
          <w:sz w:val="24"/>
        </w:rPr>
        <w:t>с</w:t>
      </w:r>
      <w:r w:rsidRPr="006006E3">
        <w:rPr>
          <w:spacing w:val="5"/>
          <w:sz w:val="24"/>
        </w:rPr>
        <w:t xml:space="preserve">тема разработки является сплошной, с выемкой полезного ископаемого горизонтальным слоем по схеме: </w:t>
      </w:r>
      <w:r>
        <w:rPr>
          <w:spacing w:val="5"/>
          <w:sz w:val="24"/>
        </w:rPr>
        <w:t>экскаватор</w:t>
      </w:r>
      <w:r w:rsidRPr="006006E3">
        <w:rPr>
          <w:spacing w:val="5"/>
          <w:sz w:val="24"/>
        </w:rPr>
        <w:t xml:space="preserve"> – автосамосвал – </w:t>
      </w:r>
      <w:r>
        <w:rPr>
          <w:spacing w:val="5"/>
          <w:sz w:val="24"/>
        </w:rPr>
        <w:t>строительные объекты</w:t>
      </w:r>
      <w:r w:rsidRPr="006006E3">
        <w:rPr>
          <w:spacing w:val="5"/>
          <w:sz w:val="24"/>
        </w:rPr>
        <w:t>.</w:t>
      </w:r>
    </w:p>
    <w:p w:rsidR="0046755A" w:rsidRPr="006006E3" w:rsidRDefault="0046755A" w:rsidP="0046755A">
      <w:pPr>
        <w:pStyle w:val="a6"/>
        <w:rPr>
          <w:spacing w:val="5"/>
          <w:sz w:val="24"/>
        </w:rPr>
      </w:pPr>
      <w:r w:rsidRPr="006006E3">
        <w:rPr>
          <w:spacing w:val="5"/>
          <w:sz w:val="24"/>
        </w:rPr>
        <w:t>Погашенные борта карьера будут представлены единым откосом. В предохран</w:t>
      </w:r>
      <w:r w:rsidRPr="006006E3">
        <w:rPr>
          <w:spacing w:val="5"/>
          <w:sz w:val="24"/>
        </w:rPr>
        <w:t>и</w:t>
      </w:r>
      <w:r w:rsidRPr="006006E3">
        <w:rPr>
          <w:spacing w:val="5"/>
          <w:sz w:val="24"/>
        </w:rPr>
        <w:t xml:space="preserve">тельной берме при отработке одним уступом нет надобности. </w:t>
      </w:r>
    </w:p>
    <w:p w:rsidR="00794214" w:rsidRPr="002A1DE8" w:rsidRDefault="00794214" w:rsidP="00C43BB0">
      <w:pPr>
        <w:pStyle w:val="12"/>
        <w:rPr>
          <w:iCs/>
          <w:szCs w:val="24"/>
        </w:rPr>
      </w:pPr>
    </w:p>
    <w:sectPr w:rsidR="00794214" w:rsidRPr="002A1DE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6B2E"/>
    <w:multiLevelType w:val="multilevel"/>
    <w:tmpl w:val="1F14C16C"/>
    <w:styleLink w:val="111111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10820374"/>
    <w:multiLevelType w:val="hybridMultilevel"/>
    <w:tmpl w:val="5C06A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243406"/>
    <w:multiLevelType w:val="hybridMultilevel"/>
    <w:tmpl w:val="96AE175C"/>
    <w:lvl w:ilvl="0" w:tplc="9DD467E6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C524AF7"/>
    <w:multiLevelType w:val="hybridMultilevel"/>
    <w:tmpl w:val="65E8E6BE"/>
    <w:lvl w:ilvl="0" w:tplc="0419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4">
    <w:nsid w:val="66B5085B"/>
    <w:multiLevelType w:val="hybridMultilevel"/>
    <w:tmpl w:val="C46E3E0C"/>
    <w:lvl w:ilvl="0" w:tplc="B226FF6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decimal"/>
        <w:pStyle w:val="1"/>
        <w:lvlText w:val=""/>
        <w:lvlJc w:val="left"/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B2FB2"/>
    <w:rsid w:val="00006482"/>
    <w:rsid w:val="000A49FD"/>
    <w:rsid w:val="000C4237"/>
    <w:rsid w:val="000E454E"/>
    <w:rsid w:val="000F6609"/>
    <w:rsid w:val="00146B25"/>
    <w:rsid w:val="001C5316"/>
    <w:rsid w:val="00233F0E"/>
    <w:rsid w:val="002660F5"/>
    <w:rsid w:val="002A1DE8"/>
    <w:rsid w:val="002A5C95"/>
    <w:rsid w:val="002B76C0"/>
    <w:rsid w:val="0035000B"/>
    <w:rsid w:val="003803F0"/>
    <w:rsid w:val="0039553A"/>
    <w:rsid w:val="003C7A2F"/>
    <w:rsid w:val="00401E01"/>
    <w:rsid w:val="00440761"/>
    <w:rsid w:val="0046755A"/>
    <w:rsid w:val="00492C98"/>
    <w:rsid w:val="004C72A3"/>
    <w:rsid w:val="00516BE0"/>
    <w:rsid w:val="005429C0"/>
    <w:rsid w:val="00547DDC"/>
    <w:rsid w:val="0061065C"/>
    <w:rsid w:val="00636255"/>
    <w:rsid w:val="006B619C"/>
    <w:rsid w:val="006C0B77"/>
    <w:rsid w:val="006D4E19"/>
    <w:rsid w:val="0072494B"/>
    <w:rsid w:val="00744359"/>
    <w:rsid w:val="00794214"/>
    <w:rsid w:val="008242FF"/>
    <w:rsid w:val="00870751"/>
    <w:rsid w:val="0087156B"/>
    <w:rsid w:val="008A385F"/>
    <w:rsid w:val="008E1D13"/>
    <w:rsid w:val="00922C48"/>
    <w:rsid w:val="00982EF7"/>
    <w:rsid w:val="009A7F88"/>
    <w:rsid w:val="009D4C02"/>
    <w:rsid w:val="00A30E7A"/>
    <w:rsid w:val="00A61BC6"/>
    <w:rsid w:val="00A6742D"/>
    <w:rsid w:val="00AB2FB2"/>
    <w:rsid w:val="00AE2929"/>
    <w:rsid w:val="00AE565F"/>
    <w:rsid w:val="00AF046F"/>
    <w:rsid w:val="00B915B7"/>
    <w:rsid w:val="00C43BB0"/>
    <w:rsid w:val="00C572E6"/>
    <w:rsid w:val="00CB741F"/>
    <w:rsid w:val="00CC7AC4"/>
    <w:rsid w:val="00CE3FBC"/>
    <w:rsid w:val="00D43CEE"/>
    <w:rsid w:val="00DA6206"/>
    <w:rsid w:val="00DE5DF9"/>
    <w:rsid w:val="00DF4199"/>
    <w:rsid w:val="00E848BF"/>
    <w:rsid w:val="00E91A7F"/>
    <w:rsid w:val="00EA59DF"/>
    <w:rsid w:val="00EE4070"/>
    <w:rsid w:val="00F12C76"/>
    <w:rsid w:val="00FB064A"/>
    <w:rsid w:val="00FC10EC"/>
    <w:rsid w:val="00FE3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7AC4"/>
  </w:style>
  <w:style w:type="paragraph" w:styleId="1">
    <w:name w:val="heading 1"/>
    <w:basedOn w:val="a0"/>
    <w:next w:val="a0"/>
    <w:link w:val="10"/>
    <w:qFormat/>
    <w:rsid w:val="000A49FD"/>
    <w:pPr>
      <w:keepNext/>
      <w:numPr>
        <w:numId w:val="3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Заголовок 2 Знак Знак,Заголовок 21"/>
    <w:basedOn w:val="a0"/>
    <w:next w:val="a0"/>
    <w:link w:val="20"/>
    <w:qFormat/>
    <w:rsid w:val="000A49FD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qFormat/>
    <w:rsid w:val="000A49FD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0"/>
    <w:next w:val="a0"/>
    <w:link w:val="50"/>
    <w:qFormat/>
    <w:rsid w:val="000A49FD"/>
    <w:pPr>
      <w:keepNext/>
      <w:numPr>
        <w:ilvl w:val="4"/>
        <w:numId w:val="3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paragraph" w:styleId="6">
    <w:name w:val="heading 6"/>
    <w:basedOn w:val="a0"/>
    <w:next w:val="a0"/>
    <w:link w:val="60"/>
    <w:qFormat/>
    <w:rsid w:val="000A49FD"/>
    <w:pPr>
      <w:keepNext/>
      <w:numPr>
        <w:ilvl w:val="5"/>
        <w:numId w:val="3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0A49FD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0A49FD"/>
    <w:pPr>
      <w:keepNext/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after="0" w:line="240" w:lineRule="auto"/>
      <w:ind w:right="-1"/>
      <w:jc w:val="both"/>
      <w:outlineLvl w:val="7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0A49FD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ированный,Маркировка 1,Таблицы,Список МАРКЕРОВ,2 уровень"/>
    <w:basedOn w:val="a0"/>
    <w:link w:val="a5"/>
    <w:uiPriority w:val="34"/>
    <w:qFormat/>
    <w:rsid w:val="00CC7AC4"/>
    <w:pPr>
      <w:ind w:left="720"/>
      <w:contextualSpacing/>
    </w:pPr>
  </w:style>
  <w:style w:type="character" w:customStyle="1" w:styleId="a5">
    <w:name w:val="Абзац списка Знак"/>
    <w:aliases w:val="маркированный Знак,Маркировка 1 Знак,Таблицы Знак,Список МАРКЕРОВ Знак,2 уровень Знак"/>
    <w:link w:val="a4"/>
    <w:uiPriority w:val="34"/>
    <w:locked/>
    <w:rsid w:val="00CC7AC4"/>
  </w:style>
  <w:style w:type="paragraph" w:customStyle="1" w:styleId="Default">
    <w:name w:val="Default"/>
    <w:qFormat/>
    <w:rsid w:val="00CC7A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6">
    <w:name w:val="ТекстПроекта"/>
    <w:basedOn w:val="a0"/>
    <w:link w:val="a7"/>
    <w:rsid w:val="00DF4199"/>
    <w:pPr>
      <w:spacing w:after="0" w:line="276" w:lineRule="auto"/>
      <w:ind w:left="-23" w:firstLine="60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ТекстПроекта Знак"/>
    <w:link w:val="a6"/>
    <w:rsid w:val="00DF41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1">
    <w:name w:val="Стиль ТекстПроекта + 12 пт1"/>
    <w:basedOn w:val="a6"/>
    <w:link w:val="1210"/>
    <w:rsid w:val="00DF4199"/>
    <w:rPr>
      <w:sz w:val="24"/>
      <w:szCs w:val="24"/>
    </w:rPr>
  </w:style>
  <w:style w:type="character" w:customStyle="1" w:styleId="1210">
    <w:name w:val="Стиль ТекстПроекта + 12 пт1 Знак"/>
    <w:link w:val="121"/>
    <w:rsid w:val="00DF4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rsid w:val="002A1DE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sid w:val="002A1D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rsid w:val="002A1D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1"/>
    <w:rsid w:val="000A49FD"/>
  </w:style>
  <w:style w:type="character" w:customStyle="1" w:styleId="10">
    <w:name w:val="Заголовок 1 Знак"/>
    <w:basedOn w:val="a1"/>
    <w:link w:val="1"/>
    <w:rsid w:val="000A49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Заголовок 2 Знак Знак Знак,Заголовок 21 Знак"/>
    <w:basedOn w:val="a1"/>
    <w:link w:val="2"/>
    <w:rsid w:val="000A49F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0A49F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1"/>
    <w:link w:val="5"/>
    <w:rsid w:val="000A49FD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  <w:style w:type="character" w:customStyle="1" w:styleId="60">
    <w:name w:val="Заголовок 6 Знак"/>
    <w:basedOn w:val="a1"/>
    <w:link w:val="6"/>
    <w:rsid w:val="000A49F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0A49FD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0A49FD"/>
    <w:rPr>
      <w:rFonts w:ascii="Arial" w:eastAsia="Times New Roman" w:hAnsi="Arial" w:cs="Arial"/>
      <w:lang w:eastAsia="ru-RU"/>
    </w:rPr>
  </w:style>
  <w:style w:type="paragraph" w:customStyle="1" w:styleId="a">
    <w:name w:val="Таблица"/>
    <w:basedOn w:val="a0"/>
    <w:rsid w:val="000A49FD"/>
    <w:pPr>
      <w:numPr>
        <w:ilvl w:val="3"/>
        <w:numId w:val="3"/>
      </w:numPr>
      <w:spacing w:before="60" w:after="6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numbering" w:styleId="111111">
    <w:name w:val="Outline List 2"/>
    <w:basedOn w:val="a3"/>
    <w:rsid w:val="000A49FD"/>
    <w:pPr>
      <w:numPr>
        <w:numId w:val="4"/>
      </w:numPr>
    </w:pPr>
  </w:style>
  <w:style w:type="paragraph" w:styleId="aa">
    <w:name w:val="footer"/>
    <w:basedOn w:val="a0"/>
    <w:link w:val="ab"/>
    <w:rsid w:val="000A49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rsid w:val="000A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CB741F"/>
    <w:pPr>
      <w:spacing w:after="0" w:line="240" w:lineRule="auto"/>
    </w:pPr>
    <w:rPr>
      <w:kern w:val="2"/>
    </w:rPr>
  </w:style>
  <w:style w:type="paragraph" w:customStyle="1" w:styleId="12">
    <w:name w:val="Стиль ТекстПроекта + 12 пт"/>
    <w:basedOn w:val="a0"/>
    <w:link w:val="120"/>
    <w:rsid w:val="00547DDC"/>
    <w:pPr>
      <w:spacing w:after="0" w:line="276" w:lineRule="auto"/>
      <w:ind w:firstLine="113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120">
    <w:name w:val="Стиль ТекстПроекта + 12 пт Знак"/>
    <w:link w:val="12"/>
    <w:rsid w:val="00547DDC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560B2-B835-497D-BDC5-AC9DBC14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45</cp:revision>
  <cp:lastPrinted>2026-06-10T11:21:00Z</cp:lastPrinted>
  <dcterms:created xsi:type="dcterms:W3CDTF">2024-01-11T12:10:00Z</dcterms:created>
  <dcterms:modified xsi:type="dcterms:W3CDTF">2026-08-11T05:46:00Z</dcterms:modified>
</cp:coreProperties>
</file>