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C0" w:rsidRPr="005429C0" w:rsidRDefault="005429C0" w:rsidP="005429C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ТОО </w:t>
      </w:r>
      <w:r w:rsidR="0089634E" w:rsidRPr="008963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7.85pt;margin-top:-27pt;width:7in;height:774pt;z-index:251660288;mso-position-horizontal-relative:text;mso-position-vertical-relative:text" filled="f" strokeweight="5pt">
            <v:stroke linestyle="thickThin"/>
            <v:shadow opacity=".5" offset=",4pt" offset2="-8pt,-4pt"/>
          </v:rect>
        </w:pic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«</w: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Oil Construction Company</w: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»</w:t>
      </w:r>
    </w:p>
    <w:p w:rsidR="00CC7AC4" w:rsidRPr="005429C0" w:rsidRDefault="00CC7AC4" w:rsidP="006D4E1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5429C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5429C0">
        <w:rPr>
          <w:rFonts w:ascii="Times New Roman" w:hAnsi="Times New Roman" w:cs="Times New Roman"/>
          <w:b/>
          <w:sz w:val="32"/>
          <w:szCs w:val="32"/>
        </w:rPr>
        <w:t>Краткое</w:t>
      </w:r>
      <w:r w:rsidRPr="005429C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5429C0">
        <w:rPr>
          <w:rFonts w:ascii="Times New Roman" w:hAnsi="Times New Roman" w:cs="Times New Roman"/>
          <w:b/>
          <w:sz w:val="32"/>
          <w:szCs w:val="32"/>
        </w:rPr>
        <w:t>нетехническое</w:t>
      </w:r>
      <w:r w:rsidRPr="005429C0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5429C0"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CB741F" w:rsidRPr="005429C0" w:rsidRDefault="00CC7AC4" w:rsidP="005429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9C0">
        <w:rPr>
          <w:rFonts w:ascii="Times New Roman" w:hAnsi="Times New Roman" w:cs="Times New Roman"/>
          <w:b/>
          <w:sz w:val="32"/>
          <w:szCs w:val="32"/>
        </w:rPr>
        <w:t xml:space="preserve">к Проекту </w:t>
      </w:r>
      <w:r w:rsidR="00CB741F" w:rsidRPr="005429C0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5429C0" w:rsidRPr="005429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горных работ</w:t>
      </w:r>
      <w:r w:rsidR="005429C0" w:rsidRPr="005429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по добыче грунта (суглинка) и мергеля (грунта скального) на месторождении Карьер №8 в Тупкараганском районе</w:t>
      </w:r>
      <w:r w:rsidR="005429C0" w:rsidRPr="005429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Мангистауской </w:t>
      </w:r>
      <w:r w:rsidR="005429C0"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области Республики Казахстан</w:t>
      </w:r>
      <w:r w:rsidR="00CB741F" w:rsidRPr="005429C0">
        <w:rPr>
          <w:rFonts w:ascii="Times New Roman" w:hAnsi="Times New Roman" w:cs="Times New Roman"/>
          <w:b/>
          <w:sz w:val="32"/>
          <w:szCs w:val="32"/>
        </w:rPr>
        <w:t>»</w:t>
      </w:r>
    </w:p>
    <w:p w:rsidR="00CB741F" w:rsidRPr="006E354B" w:rsidRDefault="00CB741F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C7AC4" w:rsidRPr="003C7A2F" w:rsidRDefault="00CC7AC4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Настоящим Планом предусматривается производство горных работ по добыче грунта (суглинка) и мергеля (грунта скального) на месторождении Карьер №8 в Тупкараганском районе Мангистауской области. Заказчиком проекта является ТОО «Oil Construction Company», запрашивающее право на разработку грунта (суглинка) и мергеля (грунта скального) карьера.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Содержание и форма плана приняты в соответствии с Техническим заданием Заказчика и действующими нормативными документами. 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Добываемое сырье -  грунта (суглинка) и мергеля (грунта скального) будет использоваться для строительных работ в регионе. 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Срок эксплуатации карьера – 10 лет (</w:t>
      </w:r>
      <w:r w:rsidRPr="003803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2026-2035 гг.</w:t>
      </w:r>
      <w:r w:rsidRPr="003803F0">
        <w:rPr>
          <w:rFonts w:ascii="Times New Roman" w:eastAsia="Times New Roman" w:hAnsi="Times New Roman" w:cs="Times New Roman"/>
          <w:b/>
          <w:sz w:val="24"/>
          <w:szCs w:val="28"/>
          <w:lang w:val="kk-KZ" w:eastAsia="ru-RU"/>
        </w:rPr>
        <w:t>).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С 2005 года разработка месторождения велась по Рабочему проекту, составленному ТОО НПЦ «Мангистау-Геология» для ТОО «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Oil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Construction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Company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», согласованному в Государственных экспертных инстанциях. В </w:t>
      </w:r>
      <w:smartTag w:uri="urn:schemas-microsoft-com:office:smarttags" w:element="metricconverter">
        <w:smartTagPr>
          <w:attr w:name="ProductID" w:val="2025 г"/>
        </w:smartTagPr>
        <w:r w:rsidRPr="003803F0">
          <w:rPr>
            <w:rFonts w:ascii="Times New Roman" w:eastAsia="Times New Roman" w:hAnsi="Times New Roman" w:cs="Times New Roman"/>
            <w:sz w:val="24"/>
            <w:szCs w:val="28"/>
            <w:lang w:eastAsia="ru-RU"/>
          </w:rPr>
          <w:t>2025 г</w:t>
        </w:r>
      </w:smartTag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 заданию ТОО «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Oil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Construction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803F0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Company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» была выполнена доразведка участка на мергели (грунта скального) силами ТОО «Актау-ГеоЭкоСервис» и поставлена на баланс.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Проектируемые к отработке запасы находятся на Государственном балансе и их остаточное количество по состоянию на 01.10.2026 г., согласно отчетности ТОО «ОСС» составляет по грунтам (суглинки) 631,258 тыс. 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. И согласно протокола №2 от 3.02.2026 г. запасы мергеля (грунта скального) составляют 1079,110 тыс. 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. Общим объемом 1710,368 тыс. 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>. На их отработку имеется Горный отвод площадью 0,3481 км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2</w:t>
      </w:r>
      <w:r w:rsidRPr="003803F0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3803F0" w:rsidRPr="003803F0" w:rsidRDefault="003803F0" w:rsidP="003803F0">
      <w:pPr>
        <w:spacing w:after="0" w:line="276" w:lineRule="auto"/>
        <w:ind w:left="-23" w:firstLine="60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данному плану </w:t>
      </w:r>
      <w:r w:rsidRPr="003803F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будет отработана часть запасов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полезного ископаемого в общем объеме 1375,962 </w:t>
      </w:r>
      <w:r w:rsidRPr="00380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тыс.м</w:t>
      </w:r>
      <w:r w:rsidRPr="003803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геологических запасов, из них 631,258 тыс. 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грунтов (суглинков) и 744,668 тыс. м</w:t>
      </w:r>
      <w:r w:rsidRPr="003803F0"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мергелей (грунтов скальных). С учетом потерь, общие эксплуатационные запасы составляют 1313,889 тыс. м</w:t>
      </w:r>
      <w:r w:rsidRPr="003803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803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(2483,3 тыс.т). </w:t>
      </w:r>
    </w:p>
    <w:p w:rsidR="0072494B" w:rsidRPr="003C7A2F" w:rsidRDefault="0072494B" w:rsidP="006D4E19">
      <w:pPr>
        <w:pStyle w:val="a6"/>
        <w:rPr>
          <w:b/>
          <w:bCs/>
        </w:rPr>
      </w:pPr>
      <w:r w:rsidRPr="003C7A2F">
        <w:rPr>
          <w:b/>
          <w:bCs/>
        </w:rPr>
        <w:t xml:space="preserve">Рабочая часть проекта разработана ТОО «Актау-ГеоЭкоСервис». </w:t>
      </w:r>
    </w:p>
    <w:p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7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Учет общественного мнения</w:t>
      </w:r>
    </w:p>
    <w:p w:rsidR="00CC7AC4" w:rsidRPr="002660F5" w:rsidRDefault="003803F0" w:rsidP="00CC7AC4">
      <w:pPr>
        <w:pStyle w:val="Default"/>
        <w:ind w:firstLine="708"/>
        <w:jc w:val="both"/>
        <w:rPr>
          <w:sz w:val="28"/>
          <w:szCs w:val="28"/>
        </w:rPr>
      </w:pPr>
      <w:r w:rsidRPr="003803F0">
        <w:rPr>
          <w:sz w:val="28"/>
          <w:szCs w:val="28"/>
        </w:rPr>
        <w:t>ТОО «Oil Construction Company»</w:t>
      </w:r>
      <w:r>
        <w:rPr>
          <w:sz w:val="28"/>
          <w:szCs w:val="28"/>
          <w:lang w:val="kk-KZ"/>
        </w:rPr>
        <w:t xml:space="preserve"> </w:t>
      </w:r>
      <w:r w:rsidR="00CC7AC4" w:rsidRPr="002660F5">
        <w:rPr>
          <w:sz w:val="28"/>
          <w:szCs w:val="28"/>
        </w:rPr>
        <w:t xml:space="preserve">декларирует политику открытости социальной и экологической ответственности.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проводятся в целях: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информирования населения по вопросам прогнозируемой деятельности;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учета замечаний и предложений общественности по вопросам охраны окружающей среды в процессе принятия решений, касающихся реализации планируемой деятельности;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деятельности.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осуществляются посредством: </w:t>
      </w:r>
    </w:p>
    <w:p w:rsidR="00CC7AC4" w:rsidRPr="002660F5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0F5">
        <w:rPr>
          <w:rFonts w:ascii="Times New Roman" w:hAnsi="Times New Roman" w:cs="Times New Roman"/>
          <w:sz w:val="28"/>
          <w:szCs w:val="28"/>
        </w:rPr>
        <w:t>- ознакомления общественности с проектными материалами и документирования высказанных замечаний и предложений.</w:t>
      </w:r>
    </w:p>
    <w:p w:rsidR="00CC7AC4" w:rsidRPr="00CC7AC4" w:rsidRDefault="00CC7AC4" w:rsidP="00CC7AC4">
      <w:pPr>
        <w:pStyle w:val="Default"/>
        <w:spacing w:before="120" w:after="120"/>
        <w:jc w:val="both"/>
        <w:rPr>
          <w:b/>
          <w:bCs/>
          <w:i/>
        </w:rPr>
      </w:pPr>
      <w:r w:rsidRPr="00CC7AC4">
        <w:rPr>
          <w:b/>
          <w:bCs/>
          <w:i/>
        </w:rPr>
        <w:t xml:space="preserve">Законодательные и административные требования </w:t>
      </w:r>
    </w:p>
    <w:p w:rsidR="003C7A2F" w:rsidRDefault="00CC7AC4" w:rsidP="003C7A2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C7AC4">
        <w:rPr>
          <w:rFonts w:ascii="Times New Roman" w:hAnsi="Times New Roman" w:cs="Times New Roman"/>
          <w:bCs/>
          <w:sz w:val="24"/>
          <w:szCs w:val="24"/>
        </w:rPr>
        <w:t>При выполнении проекта использовались проектные материалы:</w:t>
      </w:r>
    </w:p>
    <w:p w:rsidR="00CC7AC4" w:rsidRPr="00744359" w:rsidRDefault="00D04E0B" w:rsidP="00D04E0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Проект </w:t>
      </w:r>
      <w:r w:rsidRPr="00D04E0B">
        <w:rPr>
          <w:rFonts w:ascii="Times New Roman" w:hAnsi="Times New Roman" w:cs="Times New Roman"/>
          <w:bCs/>
          <w:sz w:val="28"/>
          <w:szCs w:val="28"/>
        </w:rPr>
        <w:t>«План горных работ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04E0B">
        <w:rPr>
          <w:rFonts w:ascii="Times New Roman" w:hAnsi="Times New Roman" w:cs="Times New Roman"/>
          <w:bCs/>
          <w:sz w:val="28"/>
          <w:szCs w:val="28"/>
        </w:rPr>
        <w:t>по добыче грунта (суглинка) и мергеля (грунта скального) на месторождении Карьер №8 в Тупкараганском районе Мангистауской области Республики Казахстан»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7AC4" w:rsidRPr="00744359">
        <w:rPr>
          <w:rFonts w:ascii="Times New Roman" w:hAnsi="Times New Roman" w:cs="Times New Roman"/>
          <w:sz w:val="28"/>
          <w:szCs w:val="28"/>
          <w:lang w:val="kk-KZ"/>
        </w:rPr>
        <w:t>разработан в соответствии с действующими в Республике Казахстан законами и законодательными актами, «Инструкцией по составлению плана горных работ», Кодекса «О недрах и недропользовании»и другими государственными нормативными требованиями и межгосударственными нормативами, действующими в Республике Казахстан.</w:t>
      </w:r>
    </w:p>
    <w:p w:rsidR="00DF4199" w:rsidRPr="00744359" w:rsidRDefault="00DF4199" w:rsidP="00380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359">
        <w:rPr>
          <w:rFonts w:ascii="Times New Roman" w:hAnsi="Times New Roman" w:cs="Times New Roman"/>
          <w:b/>
          <w:bCs/>
          <w:i/>
          <w:sz w:val="28"/>
          <w:szCs w:val="28"/>
        </w:rPr>
        <w:t>Оценка современного состояния окружающей среды и социально-экономических условий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>Месторождение грунта «Карьер № 8» разведано ОАО «Запрутгеология» в 2001-2002 годы. В 2025 г. по заданию ТОО «Oil Construction Company» была выполнена доразведка участка на мергели (грунта скального) силами ТОО «Актау-ГеоЭкоСервис» и поставлена на баланс.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 xml:space="preserve">Оно расположено на полуострове Бузачи, на территории Тупкараганского района (центр г. Форт-Шевченко) Мангистауской области. От областного центра г. Актау месторождение находится  на расстоянии 260 км, а от вахтового поселка нефтяников Каламкас - на расстоянии 10 км юго-восточнее. Посёлок Каламкас соединён с областным центром автотрассой Актау –Каражанбас- Каламкас. 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 xml:space="preserve">Проектируемый карьер располагается на позднехвалынской аккумулятивной равнине с абсолютными отметками от -12,2  до -23,0 м. 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>Растительный покров и животный мир по видовому составу беден и характерен для зоны пустынь и полупустынь.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>Постоянная гидрографическая сеть отсутствует. Временные водотоки появляются только при ливнях, случающихся   весной и осенью, и при интенсивном снеготаянии.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>Климат района резкоконтинентальный. Жаркое засушливое лето, относительно морозная малоснежная зима. Характерны резкие колебания суточных и месячных температур и малое количество атмосферных осадков, годовая величина которых по данным метеостанции Форт-Шевченко не превышает 130-160 мм. Среднегодовая температура +11оС. Максимальная температура фиксируется в июле (+45оС), минимальная - в феврале (до -29оС). Для района характерны постоянно дующие ветры, преимущественно восточных румбов, средняя скорость ветра  1,4-4,2 м/сек, максимальная 17-20 м/сек. Снежный покров образуется в декабре, сходит в марте. Толщина его незначительная и едва достигает 12 см, в отдельные годы вовсе отсутствует. Глубина промерзания грунта до 0,8-1,1 м.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lastRenderedPageBreak/>
        <w:t>К опасным метеорологическим условиям в районе относятся густые туманы, гололед, сильные ветры, пыльные бури, а также кратковременные сильные ливни осенью и весной.</w:t>
      </w:r>
    </w:p>
    <w:p w:rsidR="003803F0" w:rsidRP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 xml:space="preserve">Естественных источников водоснабжения в районе нет. Обеспечение питьевой и технической водой может осуществляться путем ее завоза с пос. Каламкас. </w:t>
      </w:r>
    </w:p>
    <w:p w:rsidR="003803F0" w:rsidRDefault="003803F0" w:rsidP="003803F0">
      <w:pPr>
        <w:pStyle w:val="Default"/>
        <w:spacing w:before="120"/>
        <w:ind w:firstLine="709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3803F0">
        <w:rPr>
          <w:rFonts w:eastAsia="Times New Roman"/>
          <w:color w:val="auto"/>
          <w:sz w:val="28"/>
          <w:szCs w:val="28"/>
          <w:lang w:eastAsia="ru-RU"/>
        </w:rPr>
        <w:t>На площади месторождения здания и сооружения отсутствуют.</w:t>
      </w:r>
    </w:p>
    <w:p w:rsidR="002A1DE8" w:rsidRPr="00744359" w:rsidRDefault="002A1DE8" w:rsidP="003803F0">
      <w:pPr>
        <w:pStyle w:val="Default"/>
        <w:spacing w:before="120" w:after="120"/>
        <w:ind w:firstLine="709"/>
        <w:jc w:val="both"/>
        <w:rPr>
          <w:b/>
          <w:bCs/>
          <w:i/>
        </w:rPr>
      </w:pPr>
      <w:r w:rsidRPr="00744359">
        <w:rPr>
          <w:b/>
          <w:bCs/>
          <w:i/>
        </w:rPr>
        <w:t>Характеристика вредных физических воздействий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В процессе  разработки месторождения на месте производства горных работ почвы, имеющие низкий качественный состав, претерпевают значительное техногенное воздействие, обусловленное как непосредственно собственно технологическим процессом, так  и сопутствующими ему вспомогательными операциями.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Исходя из технологического процесса разработки карьера, в пределах исследуемой площади будут проявляться  следующие типы техногенного воздействия:</w:t>
      </w:r>
    </w:p>
    <w:p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химическое загрязнение;</w:t>
      </w:r>
    </w:p>
    <w:p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физико-механическое воздействие.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Химическое воздействие на почвы на ограниченной площади могут возникнуть в результате аварийных разливов ГСМ.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Физико-механическое воздействие на почвенный покров будут оказывать  проведение вскрышных, зачистных, добычных работ в пределах отведенного участка, при строительстве дорог и т.д. 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В ходе и после окончания  разработки  должны проводиться  работы по рекультивации отвалов и других нарушенных земель, так как участки нарушенного почвенного покрова в условиях пустынной зоны без проведения рекультивационных мероприятий восстанавливаются очень медленно.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Воздействие на земельные ресурсы и почвы при разработке карьера оценивается в пространственном масштабе как локальное, во временном - как длительное  и по величине - как незначительное.</w:t>
      </w:r>
    </w:p>
    <w:p w:rsidR="00744359" w:rsidRDefault="00744359" w:rsidP="00401E01">
      <w:pPr>
        <w:pStyle w:val="Default"/>
        <w:ind w:firstLine="709"/>
        <w:jc w:val="center"/>
        <w:rPr>
          <w:i/>
        </w:rPr>
      </w:pPr>
    </w:p>
    <w:p w:rsidR="003C7A2F" w:rsidRPr="00744359" w:rsidRDefault="002A1DE8" w:rsidP="00401E01">
      <w:pPr>
        <w:pStyle w:val="Default"/>
        <w:ind w:firstLine="709"/>
        <w:jc w:val="center"/>
        <w:rPr>
          <w:b/>
          <w:bCs/>
          <w:i/>
        </w:rPr>
      </w:pPr>
      <w:r w:rsidRPr="00744359">
        <w:rPr>
          <w:b/>
          <w:bCs/>
          <w:i/>
        </w:rPr>
        <w:t>Краткая характеристика планируемой деятельности</w:t>
      </w:r>
    </w:p>
    <w:p w:rsidR="00982EF7" w:rsidRPr="00401E01" w:rsidRDefault="00982EF7" w:rsidP="00401E01">
      <w:pPr>
        <w:pStyle w:val="Default"/>
        <w:ind w:firstLine="709"/>
        <w:jc w:val="center"/>
        <w:rPr>
          <w:spacing w:val="5"/>
          <w:highlight w:val="yellow"/>
        </w:rPr>
      </w:pPr>
    </w:p>
    <w:p w:rsidR="003C7A2F" w:rsidRPr="00401E01" w:rsidRDefault="003C7A2F" w:rsidP="00401E01">
      <w:pPr>
        <w:pStyle w:val="2"/>
        <w:numPr>
          <w:ilvl w:val="0"/>
          <w:numId w:val="0"/>
        </w:numPr>
        <w:spacing w:before="0" w:after="0"/>
        <w:ind w:hanging="576"/>
        <w:jc w:val="center"/>
        <w:rPr>
          <w:rFonts w:ascii="Times New Roman" w:hAnsi="Times New Roman" w:cs="Times New Roman"/>
        </w:rPr>
      </w:pPr>
      <w:bookmarkStart w:id="0" w:name="_Toc489436819"/>
      <w:bookmarkStart w:id="1" w:name="_Toc139109825"/>
      <w:r w:rsidRPr="00401E01">
        <w:rPr>
          <w:rFonts w:ascii="Times New Roman" w:hAnsi="Times New Roman" w:cs="Times New Roman"/>
        </w:rPr>
        <w:t>Основные технико-экономические показатели горного производства</w:t>
      </w:r>
      <w:bookmarkEnd w:id="0"/>
      <w:bookmarkEnd w:id="1"/>
    </w:p>
    <w:p w:rsidR="00547DDC" w:rsidRPr="00C43BB0" w:rsidRDefault="00C43BB0" w:rsidP="00401E01">
      <w:pPr>
        <w:pStyle w:val="a6"/>
        <w:spacing w:line="240" w:lineRule="auto"/>
        <w:ind w:left="0"/>
        <w:rPr>
          <w:spacing w:val="5"/>
          <w:sz w:val="24"/>
          <w:lang w:val="kk-KZ"/>
        </w:rPr>
      </w:pPr>
      <w:r w:rsidRPr="00C43BB0">
        <w:rPr>
          <w:spacing w:val="5"/>
          <w:sz w:val="24"/>
        </w:rPr>
        <w:t>Технологические показатели горного производства определены и рассчитаны согласно условиям технического задания по годовому объему добычи, с учетом особенностей строения месторождения и горно-технологических условий отработки (таблица 5.5.1)</w:t>
      </w:r>
      <w:r>
        <w:rPr>
          <w:spacing w:val="5"/>
          <w:sz w:val="24"/>
          <w:lang w:val="kk-KZ"/>
        </w:rPr>
        <w:t xml:space="preserve">. </w:t>
      </w:r>
    </w:p>
    <w:p w:rsidR="00C43BB0" w:rsidRDefault="00C43BB0" w:rsidP="00C43BB0">
      <w:pPr>
        <w:pStyle w:val="a6"/>
        <w:jc w:val="center"/>
        <w:rPr>
          <w:b/>
          <w:spacing w:val="5"/>
          <w:sz w:val="24"/>
        </w:rPr>
      </w:pPr>
      <w:r w:rsidRPr="00EE66F9">
        <w:rPr>
          <w:b/>
          <w:spacing w:val="5"/>
          <w:sz w:val="24"/>
        </w:rPr>
        <w:t>Основные технико-экономические показатели работы карьера</w:t>
      </w:r>
    </w:p>
    <w:tbl>
      <w:tblPr>
        <w:tblW w:w="9350" w:type="dxa"/>
        <w:tblInd w:w="98" w:type="dxa"/>
        <w:tblLook w:val="0000"/>
      </w:tblPr>
      <w:tblGrid>
        <w:gridCol w:w="1260"/>
        <w:gridCol w:w="4510"/>
        <w:gridCol w:w="1860"/>
        <w:gridCol w:w="1720"/>
      </w:tblGrid>
      <w:tr w:rsidR="00C43BB0" w:rsidRPr="00C43BB0" w:rsidTr="00705FBF">
        <w:trPr>
          <w:trHeight w:val="289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№№ п/п</w:t>
            </w:r>
          </w:p>
        </w:tc>
        <w:tc>
          <w:tcPr>
            <w:tcW w:w="4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Величина показателя</w:t>
            </w:r>
          </w:p>
        </w:tc>
      </w:tr>
      <w:tr w:rsidR="00C43BB0" w:rsidRPr="00C43BB0" w:rsidTr="00705FBF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43BB0" w:rsidRPr="00C43BB0" w:rsidTr="00705FBF">
        <w:trPr>
          <w:trHeight w:val="6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Геологические запасы в контуре карьера </w:t>
            </w:r>
          </w:p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Геологические:</w:t>
            </w:r>
          </w:p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lastRenderedPageBreak/>
              <w:t>Эксплуатационные: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lastRenderedPageBreak/>
              <w:t>тыс.м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1375,962</w:t>
            </w:r>
          </w:p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1313,889</w:t>
            </w:r>
          </w:p>
        </w:tc>
      </w:tr>
      <w:tr w:rsidR="00C43BB0" w:rsidRPr="00C43BB0" w:rsidTr="00705FBF">
        <w:trPr>
          <w:trHeight w:val="45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Потери, всего. в том числе: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3,77</w:t>
            </w:r>
          </w:p>
        </w:tc>
      </w:tr>
      <w:tr w:rsidR="00C43BB0" w:rsidRPr="00C43BB0" w:rsidTr="00705FBF">
        <w:trPr>
          <w:trHeight w:val="45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3BB0" w:rsidRPr="00C43BB0" w:rsidTr="00705FBF">
        <w:trPr>
          <w:trHeight w:val="45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общекарьерные потери в целиках охранных зон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 тыс.м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43BB0" w:rsidRPr="00C43BB0" w:rsidTr="00705FBF">
        <w:trPr>
          <w:trHeight w:val="45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43BB0" w:rsidRPr="00C43BB0" w:rsidTr="00705FBF">
        <w:trPr>
          <w:trHeight w:val="6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эксплуатационные потери первой группы, в том числе: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 тыс.м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3,29/44,7</w:t>
            </w:r>
          </w:p>
        </w:tc>
      </w:tr>
      <w:tr w:rsidR="00C43BB0" w:rsidRPr="00C43BB0" w:rsidTr="00705FBF">
        <w:trPr>
          <w:trHeight w:val="32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в кровле полезной толщи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 тыс.м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0/0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  в бортах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3,29/44,7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в подошве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0/0</w:t>
            </w:r>
          </w:p>
        </w:tc>
      </w:tr>
      <w:tr w:rsidR="00C43BB0" w:rsidRPr="00C43BB0" w:rsidTr="00705FBF">
        <w:trPr>
          <w:trHeight w:val="40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Эксплуатационные потери второй группы, в том числе: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0,5/6,57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 на транспортных путях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0,5/6,57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Разубоживание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%/тыс.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Эксплуатационные запасы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1313,89</w:t>
            </w:r>
          </w:p>
        </w:tc>
      </w:tr>
      <w:tr w:rsidR="00C43BB0" w:rsidRPr="00C43BB0" w:rsidTr="00705FBF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Объем вскрышных пород, 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54,5808</w:t>
            </w:r>
          </w:p>
        </w:tc>
      </w:tr>
      <w:tr w:rsidR="00C43BB0" w:rsidRPr="00C43BB0" w:rsidTr="00705FBF">
        <w:trPr>
          <w:trHeight w:val="63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Объем горно-капитальных и горно-подготовительных работ, всего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тыс. м</w:t>
            </w:r>
            <w:r w:rsidRPr="00C43BB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3BB0">
              <w:rPr>
                <w:rFonts w:ascii="Times New Roman" w:hAnsi="Times New Roman" w:cs="Times New Roman"/>
                <w:b/>
                <w:bCs/>
              </w:rPr>
              <w:t>54,5808</w:t>
            </w:r>
          </w:p>
        </w:tc>
      </w:tr>
      <w:tr w:rsidR="00C43BB0" w:rsidRPr="00C43BB0" w:rsidTr="00705FBF">
        <w:trPr>
          <w:trHeight w:val="33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 xml:space="preserve">в том числе: 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3BB0" w:rsidRPr="00C43BB0" w:rsidTr="00705FBF">
        <w:trPr>
          <w:trHeight w:val="38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 xml:space="preserve">1. На эксплуатационном этапе: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тыс. м</w:t>
            </w:r>
            <w:r w:rsidRPr="00C43BB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54,5808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Календарная производительность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карьера: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C43BB0" w:rsidRPr="00C43BB0" w:rsidTr="00705FBF">
        <w:trPr>
          <w:trHeight w:val="672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 по пол.ископаемому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тыс. м</w:t>
            </w:r>
            <w:r w:rsidRPr="00C43BB0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Pr="00C43BB0">
              <w:rPr>
                <w:rFonts w:ascii="Times New Roman" w:hAnsi="Times New Roman" w:cs="Times New Roman"/>
              </w:rPr>
              <w:t>/год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2026-2035 гг. 131,389</w:t>
            </w:r>
          </w:p>
        </w:tc>
      </w:tr>
      <w:tr w:rsidR="00C43BB0" w:rsidRPr="00C43BB0" w:rsidTr="00705FBF">
        <w:trPr>
          <w:trHeight w:val="62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</w:t>
            </w:r>
            <w:r w:rsidRPr="00C43BB0"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</w:rPr>
              <w:t>по горной массе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2026-2035 гг. 136,85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Режим работы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сезонный</w:t>
            </w:r>
          </w:p>
        </w:tc>
      </w:tr>
      <w:tr w:rsidR="00C43BB0" w:rsidRPr="00C43BB0" w:rsidTr="00705FBF">
        <w:trPr>
          <w:trHeight w:val="58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 рабочих суток в году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2026-2035 гг. - 99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</w:t>
            </w:r>
            <w:r w:rsidRPr="00C43BB0"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</w:rPr>
              <w:t>рабочих дней в неделю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</w:t>
            </w:r>
            <w:r w:rsidRPr="00C43BB0"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</w:rPr>
              <w:t>рабочих смен в сутки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смен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</w:t>
            </w:r>
            <w:r w:rsidRPr="00C43BB0"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</w:rPr>
              <w:t>продолжительность смены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Применяемое оборудование на вскрыше и </w:t>
            </w:r>
            <w:r w:rsidRPr="00C43BB0">
              <w:rPr>
                <w:rFonts w:ascii="Times New Roman" w:hAnsi="Times New Roman" w:cs="Times New Roman"/>
                <w:color w:val="000000"/>
              </w:rPr>
              <w:lastRenderedPageBreak/>
              <w:t>добыче: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  шт.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Погрузчик ZL-50GN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Бульдозер SHANTUI SD 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КАМАЗ-65115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 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C43BB0" w:rsidRPr="00C43BB0" w:rsidTr="00705FBF">
        <w:trPr>
          <w:trHeight w:val="60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Списочный (явочный) состав обслуживающего персонала, всего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в том числе: ИТР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B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начальник участка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горный мастер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маркшейдер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геолог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0,5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рабочих: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 xml:space="preserve">       -     машинист экскаватора/погрузч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</w:rPr>
            </w:pPr>
            <w:r w:rsidRPr="00C43BB0">
              <w:rPr>
                <w:rFonts w:ascii="Times New Roman" w:hAnsi="Times New Roman" w:cs="Times New Roman"/>
              </w:rPr>
              <w:t>-</w:t>
            </w:r>
            <w:r w:rsidRPr="00C43BB0">
              <w:rPr>
                <w:rFonts w:ascii="Times New Roman" w:hAnsi="Times New Roman" w:cs="Times New Roman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</w:rPr>
              <w:t>машинист бульдозера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водитель автосамосвала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C43BB0" w:rsidRPr="00C43BB0" w:rsidTr="00705FBF">
        <w:trPr>
          <w:trHeight w:val="6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 xml:space="preserve"> водитель поливомоечной машины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водитель вахтовки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слесарь ремонтник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охранник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43BB0" w:rsidRPr="00C43BB0" w:rsidTr="00705FBF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ind w:firstLineChars="400" w:firstLine="880"/>
              <w:rPr>
                <w:rFonts w:ascii="Times New Roman" w:hAnsi="Times New Roman" w:cs="Times New Roman"/>
                <w:color w:val="000000"/>
              </w:rPr>
            </w:pPr>
            <w:r w:rsidRPr="00C43BB0">
              <w:rPr>
                <w:rFonts w:ascii="Times New Roman" w:hAnsi="Times New Roman" w:cs="Times New Roman"/>
                <w:color w:val="000000"/>
              </w:rPr>
              <w:t>-</w:t>
            </w:r>
            <w:r w:rsidRPr="00C43BB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C43BB0">
              <w:rPr>
                <w:rFonts w:ascii="Times New Roman" w:hAnsi="Times New Roman" w:cs="Times New Roman"/>
                <w:color w:val="000000"/>
              </w:rPr>
              <w:t>техничка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BB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43BB0" w:rsidRPr="00C43BB0" w:rsidRDefault="00C43BB0" w:rsidP="00705F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3BB0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</w:tbl>
    <w:p w:rsidR="003C7A2F" w:rsidRPr="00716024" w:rsidRDefault="003C7A2F" w:rsidP="00547DDC">
      <w:pPr>
        <w:pStyle w:val="a6"/>
        <w:spacing w:line="240" w:lineRule="auto"/>
        <w:ind w:left="0"/>
        <w:jc w:val="center"/>
        <w:rPr>
          <w:highlight w:val="yellow"/>
        </w:rPr>
      </w:pPr>
      <w:r w:rsidRPr="00A273FF">
        <w:rPr>
          <w:b/>
          <w:spacing w:val="5"/>
          <w:sz w:val="24"/>
        </w:rPr>
        <w:t>Основные технико-экономические показатели работы карьера</w:t>
      </w:r>
    </w:p>
    <w:p w:rsidR="00C43BB0" w:rsidRDefault="00C43BB0" w:rsidP="00C43BB0">
      <w:pPr>
        <w:pStyle w:val="12"/>
      </w:pPr>
      <w:r>
        <w:t>По способу развития рабочей зоны при добыче грунта (суглинка) и мергеля (грунта скального) система разработки является сплошной, с выемкой полезного ископаемого горизонтальным слоем по схеме: погрузчик – автосамосвал – строительные объекты.</w:t>
      </w:r>
    </w:p>
    <w:p w:rsidR="00C43BB0" w:rsidRDefault="00C43BB0" w:rsidP="00C43BB0">
      <w:pPr>
        <w:pStyle w:val="12"/>
      </w:pPr>
      <w:r>
        <w:t xml:space="preserve">Погашенные борта карьера будут представлены единым откосом. В предохранительной берме при отработке одним уступом нет надобности. </w:t>
      </w:r>
    </w:p>
    <w:p w:rsidR="00794214" w:rsidRPr="002A1DE8" w:rsidRDefault="00794214" w:rsidP="00C43BB0">
      <w:pPr>
        <w:pStyle w:val="12"/>
        <w:rPr>
          <w:iCs/>
          <w:szCs w:val="24"/>
        </w:rPr>
      </w:pPr>
    </w:p>
    <w:sectPr w:rsidR="00794214" w:rsidRPr="002A1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B2E"/>
    <w:multiLevelType w:val="multilevel"/>
    <w:tmpl w:val="1F14C16C"/>
    <w:styleLink w:val="11111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0820374"/>
    <w:multiLevelType w:val="hybridMultilevel"/>
    <w:tmpl w:val="5C06A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243406"/>
    <w:multiLevelType w:val="hybridMultilevel"/>
    <w:tmpl w:val="96AE175C"/>
    <w:lvl w:ilvl="0" w:tplc="9DD467E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C524AF7"/>
    <w:multiLevelType w:val="hybridMultilevel"/>
    <w:tmpl w:val="65E8E6BE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>
    <w:nsid w:val="66B5085B"/>
    <w:multiLevelType w:val="hybridMultilevel"/>
    <w:tmpl w:val="C46E3E0C"/>
    <w:lvl w:ilvl="0" w:tplc="B226FF6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B2FB2"/>
    <w:rsid w:val="00006482"/>
    <w:rsid w:val="000A49FD"/>
    <w:rsid w:val="000C4237"/>
    <w:rsid w:val="000E454E"/>
    <w:rsid w:val="000F6609"/>
    <w:rsid w:val="00146B25"/>
    <w:rsid w:val="001C5316"/>
    <w:rsid w:val="00233F0E"/>
    <w:rsid w:val="002660F5"/>
    <w:rsid w:val="002A1DE8"/>
    <w:rsid w:val="002A5C95"/>
    <w:rsid w:val="002B76C0"/>
    <w:rsid w:val="0035000B"/>
    <w:rsid w:val="003803F0"/>
    <w:rsid w:val="0039553A"/>
    <w:rsid w:val="003C7A2F"/>
    <w:rsid w:val="00401E01"/>
    <w:rsid w:val="00440761"/>
    <w:rsid w:val="00516BE0"/>
    <w:rsid w:val="005429C0"/>
    <w:rsid w:val="00547DDC"/>
    <w:rsid w:val="0061065C"/>
    <w:rsid w:val="00636255"/>
    <w:rsid w:val="006B619C"/>
    <w:rsid w:val="006C0B77"/>
    <w:rsid w:val="006D4E19"/>
    <w:rsid w:val="0072494B"/>
    <w:rsid w:val="00744359"/>
    <w:rsid w:val="00794214"/>
    <w:rsid w:val="008242FF"/>
    <w:rsid w:val="00870751"/>
    <w:rsid w:val="0087156B"/>
    <w:rsid w:val="0089634E"/>
    <w:rsid w:val="008A385F"/>
    <w:rsid w:val="008E1D13"/>
    <w:rsid w:val="00922C48"/>
    <w:rsid w:val="00982EF7"/>
    <w:rsid w:val="009A7F88"/>
    <w:rsid w:val="009D4C02"/>
    <w:rsid w:val="00A30E7A"/>
    <w:rsid w:val="00A61BC6"/>
    <w:rsid w:val="00A6742D"/>
    <w:rsid w:val="00AB2FB2"/>
    <w:rsid w:val="00AE2929"/>
    <w:rsid w:val="00AE565F"/>
    <w:rsid w:val="00AF046F"/>
    <w:rsid w:val="00B915B7"/>
    <w:rsid w:val="00C43BB0"/>
    <w:rsid w:val="00C572E6"/>
    <w:rsid w:val="00CB741F"/>
    <w:rsid w:val="00CC7AC4"/>
    <w:rsid w:val="00CE3FBC"/>
    <w:rsid w:val="00D04E0B"/>
    <w:rsid w:val="00D43CEE"/>
    <w:rsid w:val="00DE5DF9"/>
    <w:rsid w:val="00DF4199"/>
    <w:rsid w:val="00E848BF"/>
    <w:rsid w:val="00E91A7F"/>
    <w:rsid w:val="00EA59DF"/>
    <w:rsid w:val="00EE4070"/>
    <w:rsid w:val="00F12C76"/>
    <w:rsid w:val="00FB064A"/>
    <w:rsid w:val="00FC10EC"/>
    <w:rsid w:val="00FE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AC4"/>
  </w:style>
  <w:style w:type="paragraph" w:styleId="1">
    <w:name w:val="heading 1"/>
    <w:basedOn w:val="a0"/>
    <w:next w:val="a0"/>
    <w:link w:val="10"/>
    <w:qFormat/>
    <w:rsid w:val="000A49FD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аголовок 2 Знак Знак,Заголовок 21"/>
    <w:basedOn w:val="a0"/>
    <w:next w:val="a0"/>
    <w:link w:val="20"/>
    <w:qFormat/>
    <w:rsid w:val="000A49FD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0A49F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0"/>
    <w:next w:val="a0"/>
    <w:link w:val="50"/>
    <w:qFormat/>
    <w:rsid w:val="000A49FD"/>
    <w:pPr>
      <w:keepNext/>
      <w:numPr>
        <w:ilvl w:val="4"/>
        <w:numId w:val="3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qFormat/>
    <w:rsid w:val="000A49FD"/>
    <w:pPr>
      <w:keepNext/>
      <w:numPr>
        <w:ilvl w:val="5"/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A49F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0A49FD"/>
    <w:pPr>
      <w:keepNext/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after="0" w:line="240" w:lineRule="auto"/>
      <w:ind w:right="-1"/>
      <w:jc w:val="both"/>
      <w:outlineLvl w:val="7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A49FD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ированный,Маркировка 1,Таблицы,Список МАРКЕРОВ,2 уровень"/>
    <w:basedOn w:val="a0"/>
    <w:link w:val="a5"/>
    <w:uiPriority w:val="34"/>
    <w:qFormat/>
    <w:rsid w:val="00CC7AC4"/>
    <w:pPr>
      <w:ind w:left="720"/>
      <w:contextualSpacing/>
    </w:pPr>
  </w:style>
  <w:style w:type="character" w:customStyle="1" w:styleId="a5">
    <w:name w:val="Абзац списка Знак"/>
    <w:aliases w:val="маркированный Знак,Маркировка 1 Знак,Таблицы Знак,Список МАРКЕРОВ Знак,2 уровень Знак"/>
    <w:link w:val="a4"/>
    <w:uiPriority w:val="34"/>
    <w:locked/>
    <w:rsid w:val="00CC7AC4"/>
  </w:style>
  <w:style w:type="paragraph" w:customStyle="1" w:styleId="Default">
    <w:name w:val="Default"/>
    <w:qFormat/>
    <w:rsid w:val="00CC7A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ТекстПроекта"/>
    <w:basedOn w:val="a0"/>
    <w:link w:val="a7"/>
    <w:rsid w:val="00DF4199"/>
    <w:pPr>
      <w:spacing w:after="0" w:line="276" w:lineRule="auto"/>
      <w:ind w:left="-23" w:firstLine="60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Проекта Знак"/>
    <w:link w:val="a6"/>
    <w:rsid w:val="00DF41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1">
    <w:name w:val="Стиль ТекстПроекта + 12 пт1"/>
    <w:basedOn w:val="a6"/>
    <w:link w:val="1210"/>
    <w:rsid w:val="00DF4199"/>
    <w:rPr>
      <w:sz w:val="24"/>
      <w:szCs w:val="24"/>
    </w:rPr>
  </w:style>
  <w:style w:type="character" w:customStyle="1" w:styleId="1210">
    <w:name w:val="Стиль ТекстПроекта + 12 пт1 Знак"/>
    <w:link w:val="121"/>
    <w:rsid w:val="00DF4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A1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2A1D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rsid w:val="002A1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1"/>
    <w:rsid w:val="000A49FD"/>
  </w:style>
  <w:style w:type="character" w:customStyle="1" w:styleId="10">
    <w:name w:val="Заголовок 1 Знак"/>
    <w:basedOn w:val="a1"/>
    <w:link w:val="1"/>
    <w:rsid w:val="000A49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 Знак Знак,Заголовок 21 Знак"/>
    <w:basedOn w:val="a1"/>
    <w:link w:val="2"/>
    <w:rsid w:val="000A49F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A49F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0A49FD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0A49F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A49F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A49FD"/>
    <w:rPr>
      <w:rFonts w:ascii="Arial" w:eastAsia="Times New Roman" w:hAnsi="Arial" w:cs="Arial"/>
      <w:lang w:eastAsia="ru-RU"/>
    </w:rPr>
  </w:style>
  <w:style w:type="paragraph" w:customStyle="1" w:styleId="a">
    <w:name w:val="Таблица"/>
    <w:basedOn w:val="a0"/>
    <w:rsid w:val="000A49FD"/>
    <w:pPr>
      <w:numPr>
        <w:ilvl w:val="3"/>
        <w:numId w:val="3"/>
      </w:num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numbering" w:styleId="111111">
    <w:name w:val="Outline List 2"/>
    <w:basedOn w:val="a3"/>
    <w:rsid w:val="000A49FD"/>
    <w:pPr>
      <w:numPr>
        <w:numId w:val="4"/>
      </w:numPr>
    </w:pPr>
  </w:style>
  <w:style w:type="paragraph" w:styleId="aa">
    <w:name w:val="footer"/>
    <w:basedOn w:val="a0"/>
    <w:link w:val="ab"/>
    <w:rsid w:val="000A4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741F"/>
    <w:pPr>
      <w:spacing w:after="0" w:line="240" w:lineRule="auto"/>
    </w:pPr>
    <w:rPr>
      <w:kern w:val="2"/>
    </w:rPr>
  </w:style>
  <w:style w:type="paragraph" w:customStyle="1" w:styleId="12">
    <w:name w:val="Стиль ТекстПроекта + 12 пт"/>
    <w:basedOn w:val="a0"/>
    <w:link w:val="120"/>
    <w:rsid w:val="00547DDC"/>
    <w:pPr>
      <w:spacing w:after="0" w:line="276" w:lineRule="auto"/>
      <w:ind w:firstLine="113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20">
    <w:name w:val="Стиль ТекстПроекта + 12 пт Знак"/>
    <w:link w:val="12"/>
    <w:rsid w:val="00547DD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C5E1-09C9-45E3-B385-D493B42A4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44</cp:revision>
  <cp:lastPrinted>2026-06-10T11:21:00Z</cp:lastPrinted>
  <dcterms:created xsi:type="dcterms:W3CDTF">2024-01-11T12:10:00Z</dcterms:created>
  <dcterms:modified xsi:type="dcterms:W3CDTF">2026-08-11T05:47:00Z</dcterms:modified>
</cp:coreProperties>
</file>