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8109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НЕТЕХНИЧЕСКОЕ РЕЗЮМЕ</w:t>
      </w:r>
    </w:p>
    <w:p w14:paraId="51F86A3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проекта нормативов допустимых выбросов загрязняющих веществ в атмосферу для месторождения «Майкыз» ТОО «Туран-Барлау» на 2027 год</w:t>
      </w:r>
    </w:p>
    <w:p w14:paraId="6BF56F8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 Общая информация о проекте</w:t>
      </w:r>
    </w:p>
    <w:p w14:paraId="7432DBF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Проект нормативов допустимых выбросов загрязняющих веществ в атмосферу разработан для производственной деятельности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ТОО «Туран-Барлау» на месторождении «Майкыз» на 2027 год</w:t>
      </w:r>
      <w:r>
        <w:rPr>
          <w:rFonts w:hint="default" w:ascii="Times New Roman" w:hAnsi="Times New Roman" w:cs="Times New Roman"/>
          <w:sz w:val="24"/>
          <w:szCs w:val="24"/>
        </w:rPr>
        <w:t xml:space="preserve">. Необходимость разработки проекта связана с истечением срока действия предыдущего проекта НДВ и изменением условий природопользования. </w:t>
      </w:r>
    </w:p>
    <w:p w14:paraId="3C1936AA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ТОО «Туран-Барлау» является недропользователем контрактной территории и осуществляет деятельность по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разработке нефтегазового месторождения «Майкыз»</w:t>
      </w:r>
      <w:r>
        <w:rPr>
          <w:rFonts w:hint="default" w:ascii="Times New Roman" w:hAnsi="Times New Roman" w:cs="Times New Roman"/>
          <w:sz w:val="24"/>
          <w:szCs w:val="24"/>
        </w:rPr>
        <w:t xml:space="preserve"> в Кызылординской области Республики Казахстан. Деятельность осуществляется на основании соответствующего контракта на добычу углеводородов. </w:t>
      </w:r>
    </w:p>
    <w:p w14:paraId="0023EE4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Проект НДВ разработан с учетом требований Экологического кодекса Республики Казахстан, санитарных правил, нормативов качества атмосферного воздуха и действующей методики определения нормативов эмиссий. Расчеты рассеивания загрязняющих веществ выполнены с использованием программного комплекса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«ЭРА», версия 3.0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</w:p>
    <w:p w14:paraId="5706E2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AC8DB5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 Местоположение объекта</w:t>
      </w:r>
    </w:p>
    <w:p w14:paraId="4AE9AD4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Месторождение «Майкыз» в административном отношении расположено в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Сырдарьинском районе Кызылординской области Республики Казахстан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4672351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Контрактная территория расположена в южной части Тургайской низменности. Общая площадь геологического отвода двух участков составляет около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681,1 км²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</w:p>
    <w:p w14:paraId="6F2F8B2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Ближайшими населенными пунктами являются:</w:t>
      </w:r>
    </w:p>
    <w:p w14:paraId="508422DB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железнодорожная станция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Жусалы</w:t>
      </w:r>
      <w:r>
        <w:rPr>
          <w:rFonts w:hint="default" w:ascii="Times New Roman" w:hAnsi="Times New Roman" w:cs="Times New Roman"/>
          <w:sz w:val="24"/>
          <w:szCs w:val="24"/>
        </w:rPr>
        <w:t xml:space="preserve"> — около 160 км; </w:t>
      </w:r>
    </w:p>
    <w:p w14:paraId="4926A53D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город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Кызылорда</w:t>
      </w:r>
      <w:r>
        <w:rPr>
          <w:rFonts w:hint="default" w:ascii="Times New Roman" w:hAnsi="Times New Roman" w:cs="Times New Roman"/>
          <w:sz w:val="24"/>
          <w:szCs w:val="24"/>
        </w:rPr>
        <w:t xml:space="preserve"> — около 150 км; </w:t>
      </w:r>
    </w:p>
    <w:p w14:paraId="4BEFB67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поселок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Теренозек</w:t>
      </w:r>
      <w:r>
        <w:rPr>
          <w:rFonts w:hint="default" w:ascii="Times New Roman" w:hAnsi="Times New Roman" w:cs="Times New Roman"/>
          <w:sz w:val="24"/>
          <w:szCs w:val="24"/>
        </w:rPr>
        <w:t xml:space="preserve"> — около 148 км. </w:t>
      </w:r>
    </w:p>
    <w:p w14:paraId="04C1022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Таким образом, месторождение находится на значительном удалении от населенных пунктов, непосредственно в районе размещения объекта селитебная территория отсутствует. </w:t>
      </w:r>
    </w:p>
    <w:p w14:paraId="29EBB7A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 районе размещения объекта отсутствуют заповедники, музеи, памятники архитектуры и другие особо охраняемые территории, указанные в проекте. </w:t>
      </w:r>
    </w:p>
    <w:p w14:paraId="14B0D4E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Рельеф территории представляет собой слабовсхолмленную суглинистую равнину с отдельными участками бугристых песков. Абсолютные отметки рельефа составляют примерно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78–141 м над уровнем моря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39E9FD3C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Поверхностные водные объекты и развитая гидрографическая сеть в районе отсутствуют. Водоснабжение осуществляется посредством артезианских скважин. </w:t>
      </w:r>
    </w:p>
    <w:p w14:paraId="06A34B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14070B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 Характеристика деятельности предприятия</w:t>
      </w:r>
    </w:p>
    <w:p w14:paraId="4935340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Основным видом деятельности ТОО «Туран-Барлау» на месторождении является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добыча углеводородов и эксплуатация нефтяных скважин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138A007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 месторождении осуществляется сбор добываемой продукции, ее первичная подготовка, отделение газа от нефти и воды, учет продукции и последующая транспортировка нефти на пункты подготовки.</w:t>
      </w:r>
    </w:p>
    <w:p w14:paraId="7046E3E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Технологическая схема предусматривает подачу газожидкостной смеси от скважин по выкидному трубопроводу на устьевой нагреватель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«УН-0,2»</w:t>
      </w:r>
      <w:r>
        <w:rPr>
          <w:rFonts w:hint="default" w:ascii="Times New Roman" w:hAnsi="Times New Roman" w:cs="Times New Roman"/>
          <w:sz w:val="24"/>
          <w:szCs w:val="24"/>
        </w:rPr>
        <w:t xml:space="preserve">. После подогрева продукция поступает в трехфазный тестовый сепаратор, где происходит разделение газовой, нефтяной и водной составляющих. </w:t>
      </w:r>
    </w:p>
    <w:p w14:paraId="335FAA5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Нефтяная эмульсия после сепарации поступает в резервуар РГС, где осуществляется дополнительная дегазация. Затем жидкая продукция через нефтеналивную установку загружается в автоцистерны и вывозится на пункты подготовки нефти. </w:t>
      </w:r>
    </w:p>
    <w:p w14:paraId="104605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DA75E8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 Фонд скважин</w:t>
      </w:r>
    </w:p>
    <w:p w14:paraId="6ED0287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На месторождении «Майкыз» ранее было пробурено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10 поисковых скважин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1D7A75D3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составе фонда:</w:t>
      </w:r>
    </w:p>
    <w:p w14:paraId="087563F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5 скважин находятся в консервации; </w:t>
      </w:r>
    </w:p>
    <w:p w14:paraId="749E0A7E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3 скважины находятся после бурения; </w:t>
      </w:r>
    </w:p>
    <w:p w14:paraId="69E59CB5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 скважины находятся в ликвидации. </w:t>
      </w:r>
    </w:p>
    <w:p w14:paraId="7708852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 2025 году на месторождении были пробурены разведочно-эксплуатационные скважины глубиной около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2200 м (±250 м)</w:t>
      </w:r>
      <w:r>
        <w:rPr>
          <w:rFonts w:hint="default" w:ascii="Times New Roman" w:hAnsi="Times New Roman" w:cs="Times New Roman"/>
          <w:sz w:val="24"/>
          <w:szCs w:val="24"/>
        </w:rPr>
        <w:t xml:space="preserve">, а также разведочная скважина R-1 аналогичной проектной глубины. </w:t>
      </w:r>
    </w:p>
    <w:p w14:paraId="3366AA93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Согласно проектным данным, в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2027 году предусматривается эксплуатация 7 скважин</w:t>
      </w:r>
      <w:r>
        <w:rPr>
          <w:rFonts w:hint="default" w:ascii="Times New Roman" w:hAnsi="Times New Roman" w:cs="Times New Roman"/>
          <w:sz w:val="24"/>
          <w:szCs w:val="24"/>
        </w:rPr>
        <w:t xml:space="preserve">. Фонд добывающих скважин на конец 2027 года составляет 6 единиц с учетом проектного выбытия одной скважины. </w:t>
      </w:r>
    </w:p>
    <w:p w14:paraId="51DD1C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BF7BBC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 Использование попутного газа</w:t>
      </w:r>
    </w:p>
    <w:p w14:paraId="0A16712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Одним из важных природоохранных решений проекта является использование попутного нефтяного газа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на собственные технологические нужды месторождения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34DBCC1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 2027 году ожидаемый объем добычи сырого газа составляет около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2,5 млн м³</w:t>
      </w:r>
      <w:r>
        <w:rPr>
          <w:rFonts w:hint="default" w:ascii="Times New Roman" w:hAnsi="Times New Roman" w:cs="Times New Roman"/>
          <w:sz w:val="24"/>
          <w:szCs w:val="24"/>
        </w:rPr>
        <w:t xml:space="preserve">, при этом весь данный объем предусматривается использовать на собственные нужды. Технологически неизбежное сжигание газа проектом не предусматривается. Таким образом, уровень утилизации попутного газа составляет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100 %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</w:p>
    <w:p w14:paraId="22C8D3E3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Попутный газ используется:</w:t>
      </w:r>
    </w:p>
    <w:p w14:paraId="090DDB42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для устьевых нагревателей «УН-0,2»; </w:t>
      </w:r>
    </w:p>
    <w:p w14:paraId="3B01AC1F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для линейной печи «Argo»; </w:t>
      </w:r>
    </w:p>
    <w:p w14:paraId="17EFA758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для газогенераторной установки Weichai мощностью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500 кВА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</w:p>
    <w:p w14:paraId="344F0A2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Газогенератор используется для выработки электроэнергии, необходимой для производственных нужд месторождения. </w:t>
      </w:r>
    </w:p>
    <w:p w14:paraId="0D2D7AC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Общий расчетный объем газа, направляемого на собственные нужды в 2027 году, составляет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2 500 000 м³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</w:p>
    <w:p w14:paraId="3FCAF29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721277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 Источники выбросов загрязняющих веществ</w:t>
      </w:r>
    </w:p>
    <w:p w14:paraId="1D5610D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процессе эксплуатации оборудования и объектов месторождения образуются выбросы загрязняющих веществ в атмосферный воздух.</w:t>
      </w:r>
    </w:p>
    <w:p w14:paraId="3594D0C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По результатам инвентаризации на 2027 год выявлено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85 источников выбросов</w:t>
      </w:r>
      <w:r>
        <w:rPr>
          <w:rFonts w:hint="default" w:ascii="Times New Roman" w:hAnsi="Times New Roman" w:cs="Times New Roman"/>
          <w:sz w:val="24"/>
          <w:szCs w:val="24"/>
        </w:rPr>
        <w:t>, в том числе:</w:t>
      </w:r>
    </w:p>
    <w:p w14:paraId="4C90AEE5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43 организованных источника</w:t>
      </w:r>
      <w:r>
        <w:rPr>
          <w:rFonts w:hint="default" w:ascii="Times New Roman" w:hAnsi="Times New Roman" w:cs="Times New Roman"/>
          <w:sz w:val="24"/>
          <w:szCs w:val="24"/>
        </w:rPr>
        <w:t xml:space="preserve">; </w:t>
      </w:r>
    </w:p>
    <w:p w14:paraId="07BF1FFD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42 неорганизованных источника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</w:p>
    <w:p w14:paraId="33E6D19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Основными источниками загрязнения атмосферного воздуха являются:</w:t>
      </w:r>
    </w:p>
    <w:p w14:paraId="669A8928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дизельные электростанции; </w:t>
      </w:r>
    </w:p>
    <w:p w14:paraId="36BFAB81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печи подогрева нефти; </w:t>
      </w:r>
    </w:p>
    <w:p w14:paraId="41AAC505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резервуары для хранения нефти; </w:t>
      </w:r>
    </w:p>
    <w:p w14:paraId="2AD070D8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емкости для дизельного топлива; </w:t>
      </w:r>
    </w:p>
    <w:p w14:paraId="1E34B3F6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дренажные емкости; </w:t>
      </w:r>
    </w:p>
    <w:p w14:paraId="116D0106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продувочные свечи; </w:t>
      </w:r>
    </w:p>
    <w:p w14:paraId="34B0FE0E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нефтеналивные установки; </w:t>
      </w:r>
    </w:p>
    <w:p w14:paraId="3A76CDDB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технологические линии; </w:t>
      </w:r>
    </w:p>
    <w:p w14:paraId="7BDC2E4B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устья скважин; </w:t>
      </w:r>
    </w:p>
    <w:p w14:paraId="69C8DAAB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газосепараторы; </w:t>
      </w:r>
    </w:p>
    <w:p w14:paraId="5960E455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конденсатосборники; </w:t>
      </w:r>
    </w:p>
    <w:p w14:paraId="4E14A681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газогенераторная установка. </w:t>
      </w:r>
    </w:p>
    <w:p w14:paraId="6E85076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Передвижной автотранспорт на балансе предприятия отсутствует. Передвижная техника, которая может использоваться на месторождении, принадлежит подрядным организациям, которые самостоятельно осуществляют экологическое нормирование и получают необходимые разрешения. </w:t>
      </w:r>
    </w:p>
    <w:p w14:paraId="456090D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4AA938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7. Основные загрязняющие вещества</w:t>
      </w:r>
    </w:p>
    <w:p w14:paraId="23D6739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 результате производственной деятельности в атмосферу выбрасываются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18 наименований загрязняющих веществ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77A66D4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 основным относятся:</w:t>
      </w:r>
    </w:p>
    <w:p w14:paraId="7F756A86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диоксид азота; </w:t>
      </w:r>
    </w:p>
    <w:p w14:paraId="6DAA9F9E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оксид азота; </w:t>
      </w:r>
    </w:p>
    <w:p w14:paraId="46E5B071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оксид углерода; </w:t>
      </w:r>
    </w:p>
    <w:p w14:paraId="67EAAE46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сера диоксид; </w:t>
      </w:r>
    </w:p>
    <w:p w14:paraId="4CB6374C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сажа; </w:t>
      </w:r>
    </w:p>
    <w:p w14:paraId="372D3983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сероводород; </w:t>
      </w:r>
    </w:p>
    <w:p w14:paraId="05EDD46D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метан; </w:t>
      </w:r>
    </w:p>
    <w:p w14:paraId="50A90A90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предельные углеводороды С1–С5; </w:t>
      </w:r>
    </w:p>
    <w:p w14:paraId="56951E8E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предельные углеводороды С6–С10; </w:t>
      </w:r>
    </w:p>
    <w:p w14:paraId="644ED08A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бензол; </w:t>
      </w:r>
    </w:p>
    <w:p w14:paraId="44CEF9ED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метилбензол; </w:t>
      </w:r>
    </w:p>
    <w:p w14:paraId="620D931F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диметилбензол; </w:t>
      </w:r>
    </w:p>
    <w:p w14:paraId="092F3249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бутан; </w:t>
      </w:r>
    </w:p>
    <w:p w14:paraId="0A12274F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пентан; </w:t>
      </w:r>
    </w:p>
    <w:p w14:paraId="39961336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изобутан; </w:t>
      </w:r>
    </w:p>
    <w:p w14:paraId="373A71AC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формальдегид; </w:t>
      </w:r>
    </w:p>
    <w:p w14:paraId="2247FA70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бенз(а)пирен; </w:t>
      </w:r>
    </w:p>
    <w:p w14:paraId="288F0D2E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углеводороды С12–С19. </w:t>
      </w:r>
    </w:p>
    <w:p w14:paraId="13C59CC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Наибольший вклад в общий объем выбросов дают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оксид углерода, диоксид азота, метан и углеводородные соединения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</w:p>
    <w:p w14:paraId="0D667E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A180AE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8. Общий объем выбросов</w:t>
      </w:r>
    </w:p>
    <w:p w14:paraId="0F950D1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 результатам расчетов на 2027 год суммарный валовый выброс загрязняющих веществ составляет:</w:t>
      </w:r>
    </w:p>
    <w:p w14:paraId="5515499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83,851597962 т/год.</w:t>
      </w:r>
    </w:p>
    <w:p w14:paraId="55A901A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Максимальный суммарный разовый выброс составляет:</w:t>
      </w:r>
    </w:p>
    <w:p w14:paraId="56EB0FB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22,2332602804 г/с.</w:t>
      </w:r>
    </w:p>
    <w:p w14:paraId="5A0EB6B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Из общего объема:</w:t>
      </w:r>
    </w:p>
    <w:p w14:paraId="0400F971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организованные источники —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74,799775462 т/год</w:t>
      </w:r>
      <w:r>
        <w:rPr>
          <w:rFonts w:hint="default" w:ascii="Times New Roman" w:hAnsi="Times New Roman" w:cs="Times New Roman"/>
          <w:sz w:val="24"/>
          <w:szCs w:val="24"/>
        </w:rPr>
        <w:t xml:space="preserve">; </w:t>
      </w:r>
    </w:p>
    <w:p w14:paraId="0F49B8CE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неорганизованные источники —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9,0518225 т/год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</w:p>
    <w:p w14:paraId="75299B14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Таким образом, основная часть общего выброса формируется организованными источниками.</w:t>
      </w:r>
    </w:p>
    <w:p w14:paraId="2C9AE03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A947D3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9. Очистка выбросов</w:t>
      </w:r>
    </w:p>
    <w:p w14:paraId="334C2DDA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Специальные газопылеулавливающие установки на рассматриваемом объекте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не применяются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2FA639C3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Вместе с тем снижение воздействия обеспечивается за счет технологической организации процессов, герметизации оборудования, рационального использования попутного газа и применения современного технологического оборудования.</w:t>
      </w:r>
    </w:p>
    <w:p w14:paraId="23B129F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Проектом предусмотрено поддержание оборудования в исправном техническом состоянии и проведение текущего ремонта печей подогрева и другого технологического оборудования. </w:t>
      </w:r>
    </w:p>
    <w:p w14:paraId="632CA9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D88F37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10. Оценка воздействия на атмосферный воздух</w:t>
      </w:r>
    </w:p>
    <w:p w14:paraId="01D4283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Для оценки воздействия выбросов на атмосферный воздух были выполнены расчеты рассеивания загрязняющих веществ с использованием программного комплекса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«ЭРА v3.0»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7BB134D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Основным критерием оценки является соответствие расчетных приземных концентраций установленным нормативам качества атмосферного воздуха.</w:t>
      </w:r>
    </w:p>
    <w:p w14:paraId="4B675CEC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По результатам расчетов установлено, что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на границе санитарно-защитной зоны концентрации загрязняющих веществ не превышают 1 ПДК</w:t>
      </w:r>
      <w:r>
        <w:rPr>
          <w:rFonts w:hint="default" w:ascii="Times New Roman" w:hAnsi="Times New Roman" w:cs="Times New Roman"/>
          <w:sz w:val="24"/>
          <w:szCs w:val="24"/>
        </w:rPr>
        <w:t xml:space="preserve">. В непосредственной близости от месторождения селитебная зона отсутствует. </w:t>
      </w:r>
    </w:p>
    <w:p w14:paraId="4589FB1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Это означает, что при предусмотренном проектом режиме эксплуатации объекта расчетное воздействие на атмосферный воздух не приводит к превышению установленных нормативов качества атмосферного воздуха.</w:t>
      </w:r>
    </w:p>
    <w:p w14:paraId="0BF92C8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FE21C6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11. Санитарно-защитная зона</w:t>
      </w:r>
    </w:p>
    <w:p w14:paraId="47F2866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Санитарно-защитная зона является одним из основных мероприятий, обеспечивающих защиту населения от возможного воздействия производственных объектов.</w:t>
      </w:r>
    </w:p>
    <w:p w14:paraId="1280503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 пределах установленной санитарно-защитной зоны отсутствуют жилые здания, зоны отдыха, садоводческие и дачные участки, детские и образовательные учреждения, медицинские и оздоровительные организации, спортивные сооружения и другие объекты, требующие защиты от воздействия производственной деятельности. </w:t>
      </w:r>
    </w:p>
    <w:p w14:paraId="3072AA8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 учетом значительной удаленности ближайших населенных пунктов и результатов расчетов рассеивания воздействие объекта на жилую территорию оценивается как допустимое.</w:t>
      </w:r>
    </w:p>
    <w:p w14:paraId="25C3B35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6DA335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12. Мероприятия по снижению воздействия</w:t>
      </w:r>
    </w:p>
    <w:p w14:paraId="77DEE6CA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Для обеспечения экологической безопасности при эксплуатации месторождения предусматриваются следующие основные мероприятия:</w:t>
      </w:r>
    </w:p>
    <w:p w14:paraId="3F318763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Рациональное использование попутного газа</w:t>
      </w:r>
      <w:r>
        <w:rPr>
          <w:rFonts w:hint="default" w:ascii="Times New Roman" w:hAnsi="Times New Roman" w:cs="Times New Roman"/>
          <w:sz w:val="24"/>
          <w:szCs w:val="24"/>
        </w:rPr>
        <w:t xml:space="preserve"> для собственных технологических нужд. </w:t>
      </w:r>
    </w:p>
    <w:p w14:paraId="334248F8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Использование газа в качестве топлива для нагревательного оборудования и газогенератора. </w:t>
      </w:r>
    </w:p>
    <w:p w14:paraId="178CBBDE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Поддержание технологического оборудования в исправном состоянии. </w:t>
      </w:r>
    </w:p>
    <w:p w14:paraId="2612EF51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Проведение регулярного технического обслуживания и ремонта оборудования. </w:t>
      </w:r>
    </w:p>
    <w:p w14:paraId="712F516D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Контроль герметичности технологических линий и оборудования. </w:t>
      </w:r>
    </w:p>
    <w:p w14:paraId="28DA98E8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Контроль работы дизельных электростанций. </w:t>
      </w:r>
    </w:p>
    <w:p w14:paraId="7C6AC0A2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Контроль параметров выбросов от организованных источников. </w:t>
      </w:r>
    </w:p>
    <w:p w14:paraId="3F7223D4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Контроль состояния оборудования для хранения и перекачки нефтепродуктов. </w:t>
      </w:r>
    </w:p>
    <w:p w14:paraId="1927C663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Соблюдение установленного режима работы технологического оборудования. </w:t>
      </w:r>
    </w:p>
    <w:p w14:paraId="1B51CF62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Проведение производственного экологического контроля. </w:t>
      </w:r>
    </w:p>
    <w:p w14:paraId="6C06DE0A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Мониторинг состояния атмосферного воздуха. </w:t>
      </w:r>
    </w:p>
    <w:p w14:paraId="553576A5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Выполнение мероприятий при наступлении неблагоприятных метеорологических условий. </w:t>
      </w:r>
    </w:p>
    <w:p w14:paraId="15FC7EE4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Важным природоохранным мероприятием является максимально возможное использование попутного газа вместо его выброса или сжигания. В 2027 году проектом предусмотрено использование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100 % добываемого попутного газа на собственные нужды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</w:p>
    <w:p w14:paraId="272E1C1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88A877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13. Производственный экологический контроль</w:t>
      </w:r>
    </w:p>
    <w:p w14:paraId="430237D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Для контроля воздействия предприятия предусматривается проведение производственного экологического контроля.</w:t>
      </w:r>
    </w:p>
    <w:p w14:paraId="4A45994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Он включает наблюдение за:</w:t>
      </w:r>
    </w:p>
    <w:p w14:paraId="19EE9331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атмосферным воздухом; </w:t>
      </w:r>
    </w:p>
    <w:p w14:paraId="032F15AF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поверхностными и подземными водами; </w:t>
      </w:r>
    </w:p>
    <w:p w14:paraId="28706112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сточными водами; </w:t>
      </w:r>
    </w:p>
    <w:p w14:paraId="385607C6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почвами; </w:t>
      </w:r>
    </w:p>
    <w:p w14:paraId="162D7DFC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растительностью; </w:t>
      </w:r>
    </w:p>
    <w:p w14:paraId="6D2B0459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радиационной обстановкой; </w:t>
      </w:r>
    </w:p>
    <w:p w14:paraId="306913FF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отходами производства. </w:t>
      </w:r>
    </w:p>
    <w:p w14:paraId="13CB207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Для организованных источников, в частности дымовых труб дизельных генераторов и печей подогрева, предусматривается инструментальный или инструментально-лабораторный контроль.</w:t>
      </w:r>
    </w:p>
    <w:p w14:paraId="5BAC416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Для неорганизованных и периодически работающих источников применяется расчетный метод определения выбросов. </w:t>
      </w:r>
    </w:p>
    <w:p w14:paraId="273BE9EC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На границе санитарно-защитной зоны предусмотрено наблюдение за состоянием атмосферного воздуха в четырех контрольных точках. Отбор проб предусматривается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один раз в квартал</w:t>
      </w:r>
      <w:r>
        <w:rPr>
          <w:rFonts w:hint="default" w:ascii="Times New Roman" w:hAnsi="Times New Roman" w:cs="Times New Roman"/>
          <w:sz w:val="24"/>
          <w:szCs w:val="24"/>
        </w:rPr>
        <w:t xml:space="preserve"> с использованием передвижной экологической лаборатории. </w:t>
      </w:r>
    </w:p>
    <w:p w14:paraId="29D979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071219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14. Контроль основных загрязняющих веществ</w:t>
      </w:r>
    </w:p>
    <w:p w14:paraId="58A3802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рамках экологического контроля основное внимание уделяется следующим загрязняющим веществам:</w:t>
      </w:r>
    </w:p>
    <w:p w14:paraId="3729F0E8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оксиды азота; </w:t>
      </w:r>
    </w:p>
    <w:p w14:paraId="6A83FFAE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диоксид серы; </w:t>
      </w:r>
    </w:p>
    <w:p w14:paraId="6BE1E041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оксид углерода; </w:t>
      </w:r>
    </w:p>
    <w:p w14:paraId="145EFF61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сажа; </w:t>
      </w:r>
    </w:p>
    <w:p w14:paraId="0404DC4D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углеводородные соединения; </w:t>
      </w:r>
    </w:p>
    <w:p w14:paraId="11C2E0B3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сероводород. </w:t>
      </w:r>
    </w:p>
    <w:p w14:paraId="7B0D7CF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Для крупных организованных источников предусматривается непосредственное измерение концентраций загрязняющих веществ в отходящих газах. Для мелких и неорганизованных источников объем выбросов определяется расчетным путем. </w:t>
      </w:r>
    </w:p>
    <w:p w14:paraId="188D24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2FFB97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15. Неблагоприятные метеорологические условия</w:t>
      </w:r>
    </w:p>
    <w:p w14:paraId="45FDE5D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 возникновении неблагоприятных метеорологических условий особое значение имеет регулирование выбросов, поскольку при слабом ветре и других неблагоприятных погодных условиях загрязняющие вещества могут накапливаться в приземном слое атмосферы.</w:t>
      </w:r>
    </w:p>
    <w:p w14:paraId="6FC445D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такие периоды предусматривается выполнение организационно-технических мероприятий, направленных на снижение выбросов и предотвращение превышения нормативов качества атмосферного воздуха.</w:t>
      </w:r>
    </w:p>
    <w:p w14:paraId="14177B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D1E056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 Экологическая безопасность проекта</w:t>
      </w:r>
    </w:p>
    <w:p w14:paraId="50D94FD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Основной задачей проекта НДВ является установление таких нормативов выбросов, при которых производственная деятельность месторождения не приводит к превышению нормативов качества атмосферного воздуха.</w:t>
      </w:r>
    </w:p>
    <w:p w14:paraId="7342433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Расчеты рассеивания показали, что максимальные расчетные концентрации загрязняющих веществ на границе санитарно-защитной зоны находятся в допустимых пределах. </w:t>
      </w:r>
    </w:p>
    <w:p w14:paraId="6CF28AE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Проектом также предусмотрено постоянное наблюдение за состоянием окружающей среды и контроль соблюдения установленных нормативов.</w:t>
      </w:r>
    </w:p>
    <w:p w14:paraId="1C264DF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F3925D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17. Основные показатели проекта на 2027 год</w:t>
      </w:r>
    </w:p>
    <w:tbl>
      <w:tblPr>
        <w:tblStyle w:val="6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14"/>
        <w:gridCol w:w="2846"/>
      </w:tblGrid>
      <w:tr w14:paraId="619DD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D751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Показатель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1F1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Значение</w:t>
            </w:r>
          </w:p>
        </w:tc>
      </w:tr>
      <w:tr w14:paraId="5C864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9EC2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Объект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607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Месторождение «Майкыз»</w:t>
            </w:r>
          </w:p>
        </w:tc>
      </w:tr>
      <w:tr w14:paraId="7BD0D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BEF0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Недропользователь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19C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ТОО «Туран-Барлау»</w:t>
            </w:r>
          </w:p>
        </w:tc>
      </w:tr>
      <w:tr w14:paraId="33669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5946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Регион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BF0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Кызылординская область</w:t>
            </w:r>
          </w:p>
        </w:tc>
      </w:tr>
      <w:tr w14:paraId="2627B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7001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Район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EDD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Сырдарьинский район</w:t>
            </w:r>
          </w:p>
        </w:tc>
      </w:tr>
      <w:tr w14:paraId="147F4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7570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Расчетный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A08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2027</w:t>
            </w:r>
          </w:p>
        </w:tc>
      </w:tr>
      <w:tr w14:paraId="36EE0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0E7D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Эксплуатационный фонд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B24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7 скважин</w:t>
            </w:r>
          </w:p>
        </w:tc>
      </w:tr>
      <w:tr w14:paraId="0C03F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49AD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Источники выбросов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C44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85</w:t>
            </w:r>
          </w:p>
        </w:tc>
      </w:tr>
      <w:tr w14:paraId="76231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8FB7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Организованные источники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097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</w:tr>
      <w:tr w14:paraId="053DB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9FF6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Неорганизованные источники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6EF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</w:tr>
      <w:tr w14:paraId="69349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C700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Количество загрязняющих веществ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54B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</w:tr>
      <w:tr w14:paraId="57615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386C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Максимальный разовый выброс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C1C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22,2332602804 г/с</w:t>
            </w:r>
          </w:p>
        </w:tc>
      </w:tr>
      <w:tr w14:paraId="5F661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87B9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Валовый выброс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9FC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83,851597962 т/год</w:t>
            </w:r>
          </w:p>
        </w:tc>
      </w:tr>
      <w:tr w14:paraId="0FCBB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28C9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Добыча сырого газа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2D0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2,5 млн м³/год</w:t>
            </w:r>
          </w:p>
        </w:tc>
      </w:tr>
      <w:tr w14:paraId="39CA3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AD7F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Использование газа на собственные нужды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5AB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2,5 млн м³/год</w:t>
            </w:r>
          </w:p>
        </w:tc>
      </w:tr>
      <w:tr w14:paraId="0B05A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7FDD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Утилизация попутного газа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B87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100 %</w:t>
            </w:r>
          </w:p>
        </w:tc>
      </w:tr>
      <w:tr w14:paraId="19A9D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8802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Технологически неизбежное сжигание газа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A88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174A4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F3CA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Расчет рассеивания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361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«ЭРА v3.0»</w:t>
            </w:r>
          </w:p>
        </w:tc>
      </w:tr>
      <w:tr w14:paraId="56F89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0838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Превышение 1 ПДК на границе СЗЗ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A8F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Не выявлено</w:t>
            </w:r>
          </w:p>
        </w:tc>
      </w:tr>
    </w:tbl>
    <w:p w14:paraId="626AEF13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Основные количественные показатели подтверждаются материалами проекта НДВ. </w:t>
      </w:r>
    </w:p>
    <w:p w14:paraId="1E5E26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C9510D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18. Заключение</w:t>
      </w:r>
    </w:p>
    <w:p w14:paraId="0BE4C0F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Проект нормативов допустимых выбросов для месторождения «Майкыз» разработан с целью установления допустимого уровня воздействия производственной деятельности ТОО «Туран-Барлау» на атмосферный воздух в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2027 году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68D2826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Производственная деятельность связана с эксплуатацией нефтяных скважин, сбором и первичным разделением добываемой нефтегазовой продукции, хранением и отгрузкой нефти, использованием попутного газа, работой нагревательного оборудования и автономных источников электроснабжения.</w:t>
      </w:r>
    </w:p>
    <w:p w14:paraId="13F3A583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Основными источниками выбросов являются дизельные электростанции, печи подогрева, резервуары и емкости, технологическое оборудование, нефтеналивные установки, устья скважин, газосепараторы и газогенераторная установка.</w:t>
      </w:r>
    </w:p>
    <w:p w14:paraId="5CCD9B9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На 2027 год установлено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85 источников выбросов</w:t>
      </w:r>
      <w:r>
        <w:rPr>
          <w:rFonts w:hint="default" w:ascii="Times New Roman" w:hAnsi="Times New Roman" w:cs="Times New Roman"/>
          <w:sz w:val="24"/>
          <w:szCs w:val="24"/>
        </w:rPr>
        <w:t xml:space="preserve">, а суммарный валовый выброс загрязняющих веществ составляет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83,8516 т/год</w:t>
      </w:r>
      <w:r>
        <w:rPr>
          <w:rFonts w:hint="default" w:ascii="Times New Roman" w:hAnsi="Times New Roman" w:cs="Times New Roman"/>
          <w:sz w:val="24"/>
          <w:szCs w:val="24"/>
        </w:rPr>
        <w:t xml:space="preserve"> при максимальном разовом выбросе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22,2333 г/с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</w:p>
    <w:p w14:paraId="04ED810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При этом проект предусматривает рациональное использование попутного газа: из прогнозируемых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2,5 млн м³ газа весь объем направляется на собственные технологические нужды</w:t>
      </w:r>
      <w:r>
        <w:rPr>
          <w:rFonts w:hint="default" w:ascii="Times New Roman" w:hAnsi="Times New Roman" w:cs="Times New Roman"/>
          <w:sz w:val="24"/>
          <w:szCs w:val="24"/>
        </w:rPr>
        <w:t xml:space="preserve">, в том числе для нагрева продукции и выработки электроэнергии. Технологически неизбежное сжигание попутного газа в 2027 году не предусматривается. </w:t>
      </w:r>
    </w:p>
    <w:p w14:paraId="16314D0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По результатам расчетов рассеивания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превышения нормативов качества атмосферного воздуха на границе санитарно-защитной зоны не установлены</w:t>
      </w:r>
      <w:r>
        <w:rPr>
          <w:rFonts w:hint="default" w:ascii="Times New Roman" w:hAnsi="Times New Roman" w:cs="Times New Roman"/>
          <w:sz w:val="24"/>
          <w:szCs w:val="24"/>
        </w:rPr>
        <w:t xml:space="preserve">. Ближайшие населенные пункты расположены на значительном удалении от месторождения, а непосредственно в районе размещения объекта селитебная застройка отсутствует. </w:t>
      </w:r>
    </w:p>
    <w:p w14:paraId="5DE48EA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Таким образом, при соблюдении предусмотренных проектом технологических и природоохранных мероприятий эксплуатация месторождения «Майкыз» в 2027 году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не должна приводить к превышению установленных нормативов качества атмосферного воздуха</w:t>
      </w:r>
      <w:r>
        <w:rPr>
          <w:rFonts w:hint="default" w:ascii="Times New Roman" w:hAnsi="Times New Roman" w:cs="Times New Roman"/>
          <w:sz w:val="24"/>
          <w:szCs w:val="24"/>
        </w:rPr>
        <w:t>. Контроль соблюдения нормативов будет обеспечиваться посредством производственного экологического контроля и регулярного мониторинга состояния атмосферного воздуха.</w:t>
      </w:r>
    </w:p>
    <w:p w14:paraId="050579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906" w:bottom="1440" w:left="10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31613F"/>
    <w:multiLevelType w:val="multilevel"/>
    <w:tmpl w:val="8831613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8A59CA10"/>
    <w:multiLevelType w:val="multilevel"/>
    <w:tmpl w:val="8A59CA1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9AF6A470"/>
    <w:multiLevelType w:val="multilevel"/>
    <w:tmpl w:val="9AF6A47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B0948001"/>
    <w:multiLevelType w:val="multilevel"/>
    <w:tmpl w:val="B094800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C869DACE"/>
    <w:multiLevelType w:val="multilevel"/>
    <w:tmpl w:val="C869DAC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17AADD27"/>
    <w:multiLevelType w:val="multilevel"/>
    <w:tmpl w:val="17AADD2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31A23950"/>
    <w:multiLevelType w:val="multilevel"/>
    <w:tmpl w:val="31A2395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50EFA24E"/>
    <w:multiLevelType w:val="multilevel"/>
    <w:tmpl w:val="50EFA24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8">
    <w:nsid w:val="52D8A925"/>
    <w:multiLevelType w:val="multilevel"/>
    <w:tmpl w:val="52D8A92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9">
    <w:nsid w:val="6B8F73B9"/>
    <w:multiLevelType w:val="multilevel"/>
    <w:tmpl w:val="6B8F73B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F56C92"/>
    <w:rsid w:val="19636C54"/>
    <w:rsid w:val="49F5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qFormat/>
    <w:uiPriority w:val="0"/>
    <w:rPr>
      <w:b/>
      <w:bCs/>
    </w:rPr>
  </w:style>
  <w:style w:type="paragraph" w:styleId="8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1603</Words>
  <Characters>12754</Characters>
  <Lines>0</Lines>
  <Paragraphs>0</Paragraphs>
  <TotalTime>2</TotalTime>
  <ScaleCrop>false</ScaleCrop>
  <LinksUpToDate>false</LinksUpToDate>
  <CharactersWithSpaces>14259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2026-08-12T08:21:00Z</dcterms:created>
  <dc:creator>User</dc:creator>
  <cp:lastModifiedBy>User</cp:lastModifiedBy>
  <dcterms:modified xsi:type="dcterms:W3CDTF">2026-08-12T08:26:01Z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EED4EAD068C94C3F9B25F16F61A6EF09_13</vt:lpwstr>
  </property>
  <property fmtid="{D5CDD505-2E9C-101B-9397-08002B2CF9AE}" pid="4" name="KSOTemplateDocerSaveRecord">
    <vt:lpwstr>eyJoZGlkIjoiNDI0ZjBhMzhlYmU2MjQzMDk4MGE3YzkyMWQ0NTY2MjIifQ==</vt:lpwstr>
  </property>
</Properties>
</file>