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0A49C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планом горных работ является отработка месторождении облицовочного камня (мраморизованных известняков) на участке Алтынбек.</w:t>
      </w:r>
    </w:p>
    <w:p w14:paraId="2E07BAA8" w14:textId="1378F436" w:rsidR="004D14E2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Участок работ расположен на территории Бухар</w:t>
      </w:r>
      <w:r w:rsidR="00194BC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Жырауского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Карагандинской области, в 60км. северо-восточнее г.Караганда, в 3,5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км. к востоку от п. Трудовое, в 15км. севернее </w:t>
      </w:r>
      <w:proofErr w:type="spell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п.Куучек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9908B88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Географические координаты:</w:t>
      </w:r>
    </w:p>
    <w:p w14:paraId="3945CBB4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1 точка: широта 50°26'23.7"; долгота 73°20'07.8"; 2 точка: широта 50°26'29.1", долгота 73°20'10.1"; 3 точка: широта 50°26'33.0, долгота 73°20'19.2"; 4 точка: широта 50°26'26.6", долгота 73°20'48.2". Срок использования 10 лет</w:t>
      </w:r>
    </w:p>
    <w:p w14:paraId="45A4966D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составления календарного плана вскрышных и добычных работ положены:</w:t>
      </w:r>
    </w:p>
    <w:p w14:paraId="562BABDD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1. Режим работы карьера по добыче и вскрыше;</w:t>
      </w:r>
    </w:p>
    <w:p w14:paraId="646D1613" w14:textId="77777777" w:rsidR="00032526" w:rsidRPr="00032526" w:rsidRDefault="00032526" w:rsidP="000325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Годовая производительность карьера по добыче полезного ископаемого – 81,7 </w:t>
      </w:r>
      <w:proofErr w:type="gram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тыс.т</w:t>
      </w:r>
      <w:proofErr w:type="gram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7F4BA1B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3. Горнотехнические условия разработки месторождения;</w:t>
      </w:r>
    </w:p>
    <w:p w14:paraId="12948A88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Тип и производительность </w:t>
      </w:r>
      <w:proofErr w:type="spellStart"/>
      <w:proofErr w:type="gram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горно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-транспортного</w:t>
      </w:r>
      <w:proofErr w:type="gram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оборудования.</w:t>
      </w:r>
    </w:p>
    <w:p w14:paraId="67934C62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Календарный план горных работ составлен на частичную отработку месторождения и составляет 10 лет. Отходы известняков при выемке и обработке товарных блоков используются для производства мраморной крошки, строительного щебня и минерального порошка; -блоки вывозятся на склад готовой продукции в п.Трудовое автотранспортом, щебень реализуется потребителям со склада на карьере; - работы на карьере проводятся круглогодично вахтовым способом (режим работы вахтовой смены 15 дней, при 12 часовом рабочем дне, количество рабочих дней в году - 357). В пределах рабочей промзоны карьера предусматривается строительство общежития </w:t>
      </w:r>
      <w:proofErr w:type="gram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на 40 человек</w:t>
      </w:r>
      <w:proofErr w:type="gram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совмещенного с административно – бытовым помещением и столовой; -размещение камнеобрабатывающего завода проектируется в г.Караганда.</w:t>
      </w:r>
    </w:p>
    <w:p w14:paraId="18E648A9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работы круглогодичный, с пятидневной рабочей неделей в 3 смены. Производительность завода не менее 25тыс. м3 полированной облицовочной плитки в год. В этой связи, исходя от годовой производительности карьера, в настоящем плане горных работ предусмотрено отработка части запасов полезного ископаемого в объеме 797,7 тыс. м3. В целях недопущения оставлений в недрах запасов полезного ископаемого, в последующем планируется разработка плана горных работ на вторую очередь отработки.</w:t>
      </w:r>
    </w:p>
    <w:p w14:paraId="557E34F0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Style w:val="fontstyle01"/>
          <w:sz w:val="28"/>
          <w:szCs w:val="28"/>
        </w:rPr>
        <w:t xml:space="preserve">Основными </w:t>
      </w:r>
      <w:proofErr w:type="spellStart"/>
      <w:proofErr w:type="gramStart"/>
      <w:r w:rsidRPr="00032526">
        <w:rPr>
          <w:rStyle w:val="fontstyle01"/>
          <w:sz w:val="28"/>
          <w:szCs w:val="28"/>
        </w:rPr>
        <w:t>горно</w:t>
      </w:r>
      <w:proofErr w:type="spellEnd"/>
      <w:r w:rsidRPr="00032526">
        <w:rPr>
          <w:rStyle w:val="fontstyle01"/>
          <w:sz w:val="28"/>
          <w:szCs w:val="28"/>
        </w:rPr>
        <w:t>-техническими</w:t>
      </w:r>
      <w:proofErr w:type="gramEnd"/>
      <w:r w:rsidRPr="00032526">
        <w:rPr>
          <w:rStyle w:val="fontstyle01"/>
          <w:sz w:val="28"/>
          <w:szCs w:val="28"/>
        </w:rPr>
        <w:t xml:space="preserve"> и </w:t>
      </w:r>
      <w:proofErr w:type="spellStart"/>
      <w:r w:rsidRPr="00032526">
        <w:rPr>
          <w:rStyle w:val="fontstyle01"/>
          <w:sz w:val="28"/>
          <w:szCs w:val="28"/>
        </w:rPr>
        <w:t>горно</w:t>
      </w:r>
      <w:proofErr w:type="spellEnd"/>
      <w:r w:rsidRPr="00032526">
        <w:rPr>
          <w:rStyle w:val="fontstyle01"/>
          <w:sz w:val="28"/>
          <w:szCs w:val="28"/>
        </w:rPr>
        <w:t>-геологическими условиями, определившими способ вскрытия и разработки месторождения, явились следующие показатели: - Полезная толща представлены суглинисто-щебенистым материалом рыхлой вскрыши, дресвяно-щебенистым</w:t>
      </w:r>
      <w:r w:rsidRPr="00032526">
        <w:rPr>
          <w:rStyle w:val="fontstyle01"/>
          <w:sz w:val="28"/>
          <w:szCs w:val="28"/>
          <w:lang w:val="kk-KZ"/>
        </w:rPr>
        <w:t xml:space="preserve"> </w:t>
      </w: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материалом выветрелых и сильно трещиноватых известняков, и затронутых выветриванием известняков. - Средняя мощность вскрышных пород составляет 3,1 м. - При разработке подобных месторождений углы откосов рабочих уступов обычно принимаются равными 450. Коэффициент вскрыши </w:t>
      </w: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0,4. - Горно-геологические условия отработки месторождения предопределяют открытый способ отработки карьера. Разработка полезного ископаемого будет </w:t>
      </w:r>
      <w:proofErr w:type="spell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производитьсяодним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добычным уступом высотой до 5 м на полную разведанную мощность полезной толщи, без предварительного рыхления. Перемещение пород вскрыши в отвал и полезного ископаемого будет осуществляться автосамосвалами КамАЗ-65115. Объемная масса вскрышных пород 1,6т/м3. По трудоемкости экскавации вскрышные породы ко I – II категориям. На проектируемом карьере месторождении Алтынбек площадью 99 267,5 м2 объем вскрышных пород составляет 253.4 тыс.м3. Снятие ПРС и выемка вскрышных </w:t>
      </w:r>
      <w:proofErr w:type="spell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порд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происходить по следующей схеме: 1) Бульдозер ДЗ – 110А будет перемещать ПРС в гурты; 2) Погрузчик ZL50G с вместимостью ковша 3м3 будет грузить ПРС и вскрышную породу в автосамосвалы Камаз-65115, грузоподъемностью 15т; 3) Автосамосвалы Камаз-65115 будут транспортировать ПРС на склад, который будет располагаться на расстояние 260 м от карьера. Также транспортировать вскрышную породу на породный отвал, расположенный на расстоянии 320 м от карьера. Отработку пород внешней вскрыши предполагается осуществлять одним уступом. Погрузочно-выемочные работы по отработке пород внешней вскрыши будет выполняться погрузчиком ZL50G с вместимостью ковша 3м3, транспортирование будет осуществляться автосамосвалами КамАЗ-65115, грузоподъемностью 15т. Зачистка кровли полезного ископаемого будет производиться бульдозером ДЗ – 110А. При проведении вскрышных работ принимается следующая схема – погрузчик-автосамосвал-отвал. Для создания нормальных условий при выемке полезного ископаемого предполагается опережение вскрышных работ перед добычными. Емкость отвала определяется объемом вскрышных пород (253.4 </w:t>
      </w:r>
      <w:proofErr w:type="gram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тыс.м</w:t>
      </w:r>
      <w:proofErr w:type="gram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3). При проектной высоте отвала 5м и коэффициенте остаточного рыхления 1,06, площадь отвала составит 38 289,13 м2. На планировке отвала будет использоваться бульдозер ДЗ -110А. Склад ПРС будет располагаться в 260м от карьера общей площадью 6913.7 м2. Высота бурта составит 5м, ширина 70 м, длина 106 м и объемом 29,5 </w:t>
      </w:r>
      <w:proofErr w:type="gram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тыс.м</w:t>
      </w:r>
      <w:proofErr w:type="gram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3, углы откосов приняты 30 градусов.</w:t>
      </w:r>
    </w:p>
    <w:p w14:paraId="65C1C835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службы месторождения составляет 10 лет. Начало добычных работ с 2025 года по 2034 года.</w:t>
      </w:r>
    </w:p>
    <w:p w14:paraId="562A7E1B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непосредственной близости от участка находится </w:t>
      </w:r>
      <w:proofErr w:type="spell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р.Сарыопан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3,5км к северу – р.Шидерты и в 27км. к северо-востоку – </w:t>
      </w:r>
      <w:proofErr w:type="spell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оз.Шибынды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34BE61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Style w:val="fontstyle01"/>
          <w:sz w:val="28"/>
          <w:szCs w:val="28"/>
          <w:lang w:val="kk-KZ"/>
        </w:rPr>
      </w:pP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питьевые нужды 57,3 м3/год; на пылеподавление 1500 м3/год; на пожаротушение 10 м3/год. Источником водоснабжения карьера является привозная вода, с </w:t>
      </w:r>
      <w:proofErr w:type="spellStart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</w:rPr>
        <w:t>. Трудовое соответствующая требованиям ГОСТа 2874-82 «Вода питьевая», расходуемая на хозяйственно</w:t>
      </w:r>
      <w:r w:rsidRPr="0003252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32526">
        <w:rPr>
          <w:rStyle w:val="fontstyle01"/>
          <w:sz w:val="28"/>
          <w:szCs w:val="28"/>
        </w:rPr>
        <w:t>бытовые нужды. Вода хранится в емкости объемом 600</w:t>
      </w:r>
      <w:r>
        <w:rPr>
          <w:rStyle w:val="fontstyle01"/>
          <w:sz w:val="28"/>
          <w:szCs w:val="28"/>
          <w:lang w:val="kk-KZ"/>
        </w:rPr>
        <w:t xml:space="preserve"> </w:t>
      </w:r>
      <w:r w:rsidRPr="00032526">
        <w:rPr>
          <w:rStyle w:val="fontstyle01"/>
          <w:sz w:val="28"/>
          <w:szCs w:val="28"/>
        </w:rPr>
        <w:t xml:space="preserve">л (квасная бочка). Емкость снабжена краном фонтанного типа. Изнутри бочка должна быть покрыта специальным лаком или краской, предназначенной для покрытия баков (цистерн) питьевой воды (полиизобутиленовый лак, лак ХС- 74), железный сурик на олифе, эпоксидные покрытия на основе смол ЭД-5 и ЭД-6 и т.д. Расход воды на пылеподавление карьера и пожаротушение составит 1,5 </w:t>
      </w:r>
      <w:proofErr w:type="gramStart"/>
      <w:r w:rsidRPr="00032526">
        <w:rPr>
          <w:rStyle w:val="fontstyle01"/>
          <w:sz w:val="28"/>
          <w:szCs w:val="28"/>
        </w:rPr>
        <w:t>тыс.м</w:t>
      </w:r>
      <w:proofErr w:type="gramEnd"/>
      <w:r w:rsidRPr="00032526">
        <w:rPr>
          <w:rStyle w:val="fontstyle01"/>
          <w:sz w:val="28"/>
          <w:szCs w:val="28"/>
        </w:rPr>
        <w:t xml:space="preserve">3/год и </w:t>
      </w:r>
      <w:r w:rsidRPr="00032526">
        <w:rPr>
          <w:rStyle w:val="fontstyle01"/>
          <w:sz w:val="28"/>
          <w:szCs w:val="28"/>
        </w:rPr>
        <w:lastRenderedPageBreak/>
        <w:t>используется с водопротока карьера после очистки. Противопожарный запас воды заливается в резервуар объемом 10м3 и используется только по назначению</w:t>
      </w:r>
      <w:r w:rsidRPr="00032526">
        <w:rPr>
          <w:rStyle w:val="fontstyle01"/>
          <w:sz w:val="28"/>
          <w:szCs w:val="28"/>
          <w:lang w:val="kk-KZ"/>
        </w:rPr>
        <w:t>.</w:t>
      </w:r>
    </w:p>
    <w:p w14:paraId="7D7870A4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Style w:val="fontstyle01"/>
          <w:sz w:val="28"/>
          <w:szCs w:val="28"/>
          <w:lang w:val="kk-KZ"/>
        </w:rPr>
      </w:pPr>
      <w:r w:rsidRPr="00032526">
        <w:rPr>
          <w:rStyle w:val="fontstyle01"/>
          <w:sz w:val="28"/>
          <w:szCs w:val="28"/>
        </w:rPr>
        <w:t>Валовый выброс составит: 10.997687 т/год</w:t>
      </w:r>
    </w:p>
    <w:p w14:paraId="108648E1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Style w:val="fontstyle01"/>
          <w:sz w:val="28"/>
          <w:szCs w:val="28"/>
          <w:lang w:val="kk-KZ"/>
        </w:rPr>
      </w:pPr>
      <w:r w:rsidRPr="00032526">
        <w:rPr>
          <w:rStyle w:val="fontstyle01"/>
          <w:sz w:val="28"/>
          <w:szCs w:val="28"/>
        </w:rPr>
        <w:t>В результате жизнедеятельности рабочего персонала – твердые бытовые отходы (ТБО), в количестве – 3 тонн/год. Техника будет обслуживаться в специализированных пунктах технического обслуживания в г. Караганда.</w:t>
      </w:r>
    </w:p>
    <w:p w14:paraId="0AA6989D" w14:textId="77777777" w:rsidR="00032526" w:rsidRPr="00032526" w:rsidRDefault="00032526" w:rsidP="000325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2526">
        <w:rPr>
          <w:rStyle w:val="fontstyle01"/>
          <w:sz w:val="28"/>
          <w:szCs w:val="28"/>
        </w:rPr>
        <w:t>Согласно приложению 2 Экологического Кодекса РК и приказа Министра экологии, геологии и природных ресурсов Республики Казахстан от 13 июля 2021 года №246 «Об утверждении Инструкции по определению категории объекта, оказывающего негативное воздействие на окружающую среду» данный вид намечаемой деятельности относится к объектам ІІ категории.</w:t>
      </w:r>
    </w:p>
    <w:sectPr w:rsidR="00032526" w:rsidRPr="0003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526"/>
    <w:rsid w:val="00032526"/>
    <w:rsid w:val="00194BC2"/>
    <w:rsid w:val="004D14E2"/>
    <w:rsid w:val="007C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322B"/>
  <w15:docId w15:val="{1548924E-1952-4B8D-9726-56B56785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3252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958</Words>
  <Characters>5466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4</cp:revision>
  <dcterms:created xsi:type="dcterms:W3CDTF">2025-04-07T03:45:00Z</dcterms:created>
  <dcterms:modified xsi:type="dcterms:W3CDTF">2026-08-13T10:57:00Z</dcterms:modified>
</cp:coreProperties>
</file>