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D2A2" w14:textId="77777777" w:rsidR="004B26BE" w:rsidRDefault="00107C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7C1E399C" w14:textId="77777777" w:rsidR="004B26BE" w:rsidRDefault="00107C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проектам НДВ, ПУО, ПЭК для ТОО «MEALPRO»</w:t>
      </w:r>
    </w:p>
    <w:p w14:paraId="2E950EAF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1108A" w14:textId="77777777" w:rsidR="004B26BE" w:rsidRDefault="00107CE4">
      <w:pPr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Описание предполагаемого места осуществления намечаемой деятельности.</w:t>
      </w:r>
    </w:p>
    <w:p w14:paraId="51C4441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предприятия ТОО «MEALPRO» расположена на территории Республики Казахстан, в г. Макинск, Буландинского района, Акмолинской области, Северо-западная промышленная зона, здание 4. </w:t>
      </w:r>
    </w:p>
    <w:p w14:paraId="7175FF6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Координаты угловых точек участка</w:t>
      </w:r>
    </w:p>
    <w:tbl>
      <w:tblPr>
        <w:tblStyle w:val="ae"/>
        <w:tblW w:w="9410" w:type="dxa"/>
        <w:jc w:val="center"/>
        <w:tblLayout w:type="fixed"/>
        <w:tblLook w:val="0000" w:firstRow="0" w:lastRow="0" w:firstColumn="0" w:lastColumn="0" w:noHBand="0" w:noVBand="0"/>
      </w:tblPr>
      <w:tblGrid>
        <w:gridCol w:w="970"/>
        <w:gridCol w:w="4220"/>
        <w:gridCol w:w="4220"/>
      </w:tblGrid>
      <w:tr w:rsidR="004B26BE" w14:paraId="531F0051" w14:textId="77777777">
        <w:trPr>
          <w:trHeight w:hRule="exact" w:val="264"/>
          <w:jc w:val="center"/>
        </w:trPr>
        <w:tc>
          <w:tcPr>
            <w:tcW w:w="970" w:type="dxa"/>
          </w:tcPr>
          <w:p w14:paraId="56D3D75A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угловых точек</w:t>
            </w:r>
          </w:p>
        </w:tc>
        <w:tc>
          <w:tcPr>
            <w:tcW w:w="4220" w:type="dxa"/>
          </w:tcPr>
          <w:p w14:paraId="17F975BC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широта</w:t>
            </w:r>
          </w:p>
        </w:tc>
        <w:tc>
          <w:tcPr>
            <w:tcW w:w="4220" w:type="dxa"/>
          </w:tcPr>
          <w:p w14:paraId="58265F33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долгота</w:t>
            </w:r>
          </w:p>
        </w:tc>
      </w:tr>
      <w:tr w:rsidR="004B26BE" w14:paraId="44257746" w14:textId="77777777">
        <w:trPr>
          <w:trHeight w:hRule="exact" w:val="264"/>
          <w:jc w:val="center"/>
        </w:trPr>
        <w:tc>
          <w:tcPr>
            <w:tcW w:w="970" w:type="dxa"/>
          </w:tcPr>
          <w:p w14:paraId="675C06A1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14:paraId="50773B35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52°38'51.43"N</w:t>
            </w:r>
          </w:p>
        </w:tc>
        <w:tc>
          <w:tcPr>
            <w:tcW w:w="4220" w:type="dxa"/>
          </w:tcPr>
          <w:p w14:paraId="09274F9A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70°22'03.21"E</w:t>
            </w:r>
          </w:p>
        </w:tc>
      </w:tr>
      <w:tr w:rsidR="004B26BE" w14:paraId="644E3F3E" w14:textId="77777777">
        <w:trPr>
          <w:trHeight w:hRule="exact" w:val="262"/>
          <w:jc w:val="center"/>
        </w:trPr>
        <w:tc>
          <w:tcPr>
            <w:tcW w:w="970" w:type="dxa"/>
          </w:tcPr>
          <w:p w14:paraId="6C5D9856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14:paraId="5DAA0843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52°38'52.62"N</w:t>
            </w:r>
          </w:p>
        </w:tc>
        <w:tc>
          <w:tcPr>
            <w:tcW w:w="4220" w:type="dxa"/>
          </w:tcPr>
          <w:p w14:paraId="5F0BD744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70°22'05.41"Е</w:t>
            </w:r>
          </w:p>
        </w:tc>
      </w:tr>
      <w:tr w:rsidR="004B26BE" w14:paraId="559C71BE" w14:textId="77777777">
        <w:trPr>
          <w:trHeight w:hRule="exact" w:val="264"/>
          <w:jc w:val="center"/>
        </w:trPr>
        <w:tc>
          <w:tcPr>
            <w:tcW w:w="970" w:type="dxa"/>
          </w:tcPr>
          <w:p w14:paraId="28DD0AD0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14:paraId="42F48682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52°38'50.91"N</w:t>
            </w:r>
          </w:p>
        </w:tc>
        <w:tc>
          <w:tcPr>
            <w:tcW w:w="4220" w:type="dxa"/>
          </w:tcPr>
          <w:p w14:paraId="39D904DD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70°22'04.36"E</w:t>
            </w:r>
          </w:p>
        </w:tc>
      </w:tr>
      <w:tr w:rsidR="004B26BE" w14:paraId="79A88D7F" w14:textId="77777777">
        <w:trPr>
          <w:trHeight w:hRule="exact" w:val="262"/>
          <w:jc w:val="center"/>
        </w:trPr>
        <w:tc>
          <w:tcPr>
            <w:tcW w:w="970" w:type="dxa"/>
          </w:tcPr>
          <w:p w14:paraId="6DC46F98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14:paraId="23FA17CD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52°38'51.31"N</w:t>
            </w:r>
          </w:p>
        </w:tc>
        <w:tc>
          <w:tcPr>
            <w:tcW w:w="4220" w:type="dxa"/>
          </w:tcPr>
          <w:p w14:paraId="4C6FD76F" w14:textId="77777777" w:rsidR="004B26BE" w:rsidRDefault="0010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70°22'02.75"E</w:t>
            </w:r>
          </w:p>
        </w:tc>
      </w:tr>
    </w:tbl>
    <w:p w14:paraId="5B74ACB7" w14:textId="77777777" w:rsidR="00490E1A" w:rsidRPr="003C5930" w:rsidRDefault="00490E1A" w:rsidP="0049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5930">
        <w:rPr>
          <w:rFonts w:ascii="Times New Roman" w:hAnsi="Times New Roman" w:cs="Times New Roman"/>
          <w:sz w:val="24"/>
          <w:szCs w:val="24"/>
        </w:rPr>
        <w:t>Разработка проекта выполнена в связи с актуализацией производственной структуры предприятия. В соответствии с заключенным договором цех по производству мясокостной муки выведен из состава ТОО «Макинская птицефабрика» (далее – ТОО «МПФ») и передан в ведение специализированной организации ТОО «MEALPRO».</w:t>
      </w:r>
    </w:p>
    <w:p w14:paraId="68750344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Согласно действующим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утвержденным приказом Министра здравоохранения Республики Казахстан от 11 января 2022 года № ҚР ДСМ-2, птицеводческие хозяйства с численностью более 400 000 кур-несушек и более 3 000 000 бройлеров в год относятся  к I классу опасности с нормативной санитарно-защитной зоной 1000 м (раздел 10 «Сельскохозяйственные объекты», пункт 40, подпункт 2). </w:t>
      </w:r>
    </w:p>
    <w:p w14:paraId="6C0B3D43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ТОО «МПФ» относится к указанной категории птицеводческих хозяйств, поскольку проектная (или фактическая) мощность предприятия превышает установленный норматив численности поголовья. В связи с этим для ТОО «МПФ» установлен I класс опасности с нормативной санитарно-защитной зоной 1000 м в соответствии с требованиями вышеуказанных Санитарных правил. </w:t>
      </w:r>
    </w:p>
    <w:p w14:paraId="063A3352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Несмотря на то, что для цехов по приготовлению кормов, включая использование пищевых отходов, нормативный размер санитарно-защитной зоны составляет 100 м, рассматриваемый цех функционирует в составе основного производственного объекта I класса опасности и технологически связан с деятельностью птицеводческого предприятия. </w:t>
      </w:r>
    </w:p>
    <w:p w14:paraId="01CF8D8F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В этой связи санитарно-защитная зона для цеха по производству мясокостной муки принимается по основному объекту и составляет 1000 м. Данное решение обеспечивает соблюдение санитарно-эпидемиологических требований и минимизацию потенциального воздействия на окружающую среду и здоровье населения. </w:t>
      </w:r>
    </w:p>
    <w:p w14:paraId="12766657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Для ТОО «МПФ» разработан проект обоснования размера санитарно-защитной зоны (СЗЗ) в соответствии с требованиями действующего санитарно-эпидемиологического и экологического законодательства. В рамках разработки проекта выполнена комплексная оценка воздействия предприятия на окружающую среду и население, включающая расчеты рассеивания загрязняющих веществ в атмосферном воздухе, оценку уровней физического воздействия (при наличии источников шума, вибрации и иных факторов). </w:t>
      </w:r>
    </w:p>
    <w:p w14:paraId="6340E4B5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По результатам проведенных исследований и расчетов установлено, что для обеспечения соблюдения санитарно-эпидемиологических требований и нормативов качества окружающей среды размер санитарно-защитной зоны предприятия составляет 1000 метров. </w:t>
      </w:r>
    </w:p>
    <w:p w14:paraId="4B92E113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Разработанный проект обоснования санитарно-защитной зоны (СЗЗ) прошел установленную процедуру рассмотрения и получил положительное заключение уполномоченного органа (№ KZ46VBZ00072750 от 24.12.2025 г), подтверждающее </w:t>
      </w:r>
      <w:r w:rsidRPr="003D3BD1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обоснованность принятых решений, корректность выполненных расчетов и соответствие проекта требованиям действующих нормативных документов. </w:t>
      </w:r>
    </w:p>
    <w:p w14:paraId="5CD17044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 xml:space="preserve">Таким образом, для ТОО «МПФ» утвержден размер санитарно-защитной зоны, равный 1000 м, который обеспечивает защиту населения от потенциального воздействия производственной деятельности предприятия. Деятельность ТОО «MEALPRO», осуществляемая на арендуемом объекте в пределах территории ТОО «МПФ», также осуществляется в границах установленной санитарно-защитной зоны размером 1000 м. </w:t>
      </w:r>
    </w:p>
    <w:p w14:paraId="69CCBCCA" w14:textId="77777777" w:rsidR="003D3BD1" w:rsidRP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>Кроме того, в соответствии с приказом Министра здравоохранения Республики Казахстан от 30 декабря 2020 года № ҚР ДСМ-336/2020 переоформление санитарно-эпидемиологического заключения (СЭЗ) в случае передачи объекта в арендное (доверительное) управление законодательством не предусмотрено. Переоформление СЗЗ допускается исключительно при переходе права собственности на действующий объект к другому лицу без изменения целевого назначения объекта, вида осуществляемой деятельности, технологического процесса, мощности и структурных изменений объекта. В связи с тем, что ТОО «MEALPRO» осуществляет деятельность на арендуемом объекте без изменения указанных характеристик, ранее установленная санитарно-защитная зона            ТОО «МПФ» сохраняет свое действие и распространяется на деятельность                                      ТОО «MEALPRO».</w:t>
      </w:r>
    </w:p>
    <w:p w14:paraId="00CDE21B" w14:textId="06851429" w:rsidR="003D3BD1" w:rsidRDefault="003D3BD1" w:rsidP="003D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BD1">
        <w:rPr>
          <w:rFonts w:ascii="Times New Roman" w:hAnsi="Times New Roman" w:cs="Times New Roman"/>
          <w:sz w:val="24"/>
          <w:szCs w:val="24"/>
        </w:rPr>
        <w:t>Предприятием контроль на границе санитарно-защитной зоны не ведется, так как оно осуществляет свою деятельность на арендуемом объекте</w:t>
      </w:r>
      <w:r w:rsidR="00107CE4">
        <w:rPr>
          <w:rFonts w:ascii="Times New Roman" w:hAnsi="Times New Roman" w:cs="Times New Roman"/>
          <w:sz w:val="24"/>
          <w:szCs w:val="24"/>
        </w:rPr>
        <w:t xml:space="preserve"> </w:t>
      </w:r>
      <w:r w:rsidR="00107CE4" w:rsidRPr="003D3BD1">
        <w:rPr>
          <w:rFonts w:ascii="Times New Roman" w:hAnsi="Times New Roman" w:cs="Times New Roman"/>
          <w:sz w:val="24"/>
          <w:szCs w:val="24"/>
        </w:rPr>
        <w:t>в пределах территории ТОО «МПФ»</w:t>
      </w:r>
      <w:r w:rsidRPr="003D3BD1">
        <w:rPr>
          <w:rFonts w:ascii="Times New Roman" w:hAnsi="Times New Roman" w:cs="Times New Roman"/>
          <w:sz w:val="24"/>
          <w:szCs w:val="24"/>
        </w:rPr>
        <w:t>.</w:t>
      </w:r>
    </w:p>
    <w:p w14:paraId="3DC35829" w14:textId="031CBEBC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Ближайшая жилая застройка, г. Макинск, расположена в юго-восточном направлении на расстоянии 2012 м от территории площадки.</w:t>
      </w:r>
    </w:p>
    <w:p w14:paraId="0A19EEC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Промплощадка находится вне водоохранных зон и полос водных объектов.</w:t>
      </w:r>
    </w:p>
    <w:p w14:paraId="1FEAA9A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функционального использования территории и карта-схема представлены. </w:t>
      </w:r>
    </w:p>
    <w:p w14:paraId="087C3A1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23FED08" wp14:editId="6974EC29">
            <wp:extent cx="5940425" cy="3747330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CB7C8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33511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Описание затрагиваемой территории</w:t>
      </w:r>
    </w:p>
    <w:p w14:paraId="3E07BCF8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ТОО «Макинская птицефабрика» является действующим предприятием. В рамках актуализации производственной структуры предприятия из состава выводится цех по производству мясокостной муки.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заключенным договором данный объект передается в ведение специализированной организации ТОО «MEALPRO».</w:t>
      </w:r>
    </w:p>
    <w:p w14:paraId="49E9503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основная деятельность птицефабрики и функционирование существующих производственных площадок остаются без изменений, а цех по производству мясокостной муки будет эксплуатироваться отдельно другим хозяйствующим субъектом.</w:t>
      </w:r>
    </w:p>
    <w:p w14:paraId="16B7D4F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потенциального воздействия включает производственную площадку предприятия и прилегающую территорию в пределах санитарно-защитной зоны размером 1000 м.</w:t>
      </w:r>
    </w:p>
    <w:p w14:paraId="25726A1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Ближайшая жилая застройка, г. Макинск, расположена в юго-восточном направлении на расстоянии 2012 м от территории площадки.</w:t>
      </w:r>
    </w:p>
    <w:p w14:paraId="315CC415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населения города Макинск составляет 17700 человек.</w:t>
      </w:r>
    </w:p>
    <w:p w14:paraId="4EDB174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видом воздействия являются выбросы загрязняющих веществ в атмосферный воздух, возникающие при эксплуатации технологического оборудования и осуществлении операций по обезвреживанию и переработке отходов. Перенос загрязняющих веществ возможен посредством атмосферного воздуха под воздействием метеорологических факторов.</w:t>
      </w:r>
    </w:p>
    <w:p w14:paraId="461984E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 размещения предприятия отсутствуют заповедники, памятники архитектуры, санитарно-профилактические учреждения, зоны отдыха и другие природоохранные объекты.</w:t>
      </w:r>
    </w:p>
    <w:p w14:paraId="5C0C073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Сброс сточных вод непосредственно в поверхностные водные объекты не осуществляется.</w:t>
      </w:r>
    </w:p>
    <w:p w14:paraId="547D30B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Участки извлечения природных ресурсов в рамках намечаемой деятельности отсутствуют.</w:t>
      </w:r>
    </w:p>
    <w:p w14:paraId="61C248EC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Захоронение отходов на территории предприятия не предусматривается. Образующиеся отходы передаются специализированным организациям либо направляются на переработку и утилизацию.</w:t>
      </w:r>
    </w:p>
    <w:p w14:paraId="75747646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EA54E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Наименование инициатора намечаемой деятельности, его контактные данные</w:t>
      </w:r>
    </w:p>
    <w:p w14:paraId="2BC7733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 намечаемой деятельности – Товарищество с ограниченной ответственностью «MEALPRO».</w:t>
      </w:r>
    </w:p>
    <w:p w14:paraId="1D9CBEC8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БИН: 230440014695.</w:t>
      </w:r>
    </w:p>
    <w:p w14:paraId="214FCD68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Республика Казахстан, г. Астана, ул. Кошкарбаева, 1/5.</w:t>
      </w:r>
    </w:p>
    <w:p w14:paraId="0D87E4F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(708) 667-23-17</w:t>
      </w:r>
    </w:p>
    <w:p w14:paraId="316713C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bibigul.magzumova@aitas.kz</w:t>
      </w:r>
    </w:p>
    <w:p w14:paraId="5A6E5012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2A4C5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 намечаемой деятельности</w:t>
      </w:r>
    </w:p>
    <w:p w14:paraId="6177F86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Цех производства мясокостной муки является важным объектом переработки отходов животного происхождения, обеспечивающим получение ценной кормовой продукции и снижение экологической нагрузки за счет рационального использования вторичных ресурсов. </w:t>
      </w:r>
    </w:p>
    <w:p w14:paraId="528245CA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Продукт используется в кормлении домашних животных в соответствии с ветеринарными и санитарными требованиями.</w:t>
      </w:r>
    </w:p>
    <w:p w14:paraId="6ABC283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Плановая производительность объекта:</w:t>
      </w:r>
    </w:p>
    <w:p w14:paraId="4F5F3A37" w14:textId="77777777" w:rsidR="004B26BE" w:rsidRDefault="00107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мясокостной муки 4156,15 т/год</w:t>
      </w:r>
    </w:p>
    <w:p w14:paraId="13493C54" w14:textId="77777777" w:rsidR="004B26BE" w:rsidRDefault="00107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жир 1766,288 т/год</w:t>
      </w:r>
    </w:p>
    <w:p w14:paraId="7B9C2F04" w14:textId="77777777" w:rsidR="004B26BE" w:rsidRDefault="00107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кровь-перьевая мука 2789,28 т/год</w:t>
      </w:r>
    </w:p>
    <w:p w14:paraId="31C497C0" w14:textId="77777777" w:rsidR="004B26BE" w:rsidRDefault="00107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мука стандарт 1214,93 т/год</w:t>
      </w:r>
    </w:p>
    <w:p w14:paraId="5DFE7EC9" w14:textId="77777777" w:rsidR="004B26BE" w:rsidRDefault="00107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костная мука 1096,99 т/год </w:t>
      </w:r>
    </w:p>
    <w:p w14:paraId="0752BD4A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Общая проектная производительность по выпуску готовой продукции составляет 11023,638 т/год.</w:t>
      </w:r>
    </w:p>
    <w:p w14:paraId="0C347250" w14:textId="77777777" w:rsidR="004B26BE" w:rsidRDefault="00107CE4">
      <w:pPr>
        <w:pStyle w:val="a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Мясокостное отделение предназначено для переработки непищевых отходов птицеводческого производства с получением кормовой мясокостной, перьевой и кровяной муки, а также кормового животного жира. Технологический процесс обеспечивает безопасную утилизацию отходов, соблюдение ветеринарно-санитарных требований и снижение негативного воздействия на окружающую среду.</w:t>
      </w:r>
    </w:p>
    <w:p w14:paraId="531223E7" w14:textId="77777777" w:rsidR="004B26BE" w:rsidRDefault="00107CE4">
      <w:pPr>
        <w:pStyle w:val="a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Всего в мясокостном отделении ТОО «MEALPRO» на период эксплуатации выявлено 4 организованных источника выбросов вредных веществ в атмосферный воздух.</w:t>
      </w:r>
    </w:p>
    <w:p w14:paraId="79F841A3" w14:textId="77777777" w:rsidR="004B26BE" w:rsidRDefault="00107CE4">
      <w:pPr>
        <w:pStyle w:val="a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В выбросах от источников предприятия содержится: 19 загрязняющих веществ и 3 группы веществ, обладающих эффектом вредного суммарного воздействия при совместном присутствии в а</w:t>
      </w:r>
      <w:r>
        <w:rPr>
          <w:rFonts w:ascii="Times New Roman" w:eastAsiaTheme="minorHAnsi" w:hAnsi="Times New Roman" w:cs="Times New Roman"/>
          <w:bCs/>
        </w:rPr>
        <w:t>тмосферном воздухе.</w:t>
      </w:r>
      <w:r>
        <w:rPr>
          <w:rFonts w:ascii="Times New Roman" w:hAnsi="Times New Roman" w:cs="Times New Roman"/>
          <w:bCs/>
        </w:rPr>
        <w:t xml:space="preserve"> </w:t>
      </w:r>
    </w:p>
    <w:p w14:paraId="43FAF98F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удобства пользования инвентаризацией источников выбросов, недопущения дублирования номеров источников источникам выбросов присвоена следующая нумерация: всем организованным источникам загрязнения атмосферного воздуха присваивают номера в пределах от 0001 до 5999, а неорганизованным источникам присваиваются номера – в пределах от 6001 до 9999. </w:t>
      </w:r>
    </w:p>
    <w:p w14:paraId="0E44B9C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Переработка отходов, образующихся при убое и падеже птицы, является неотъемлемой и важной частью технологического процесса переработки мяса птицы, поскольку обеспечивает соблюдение санитарно-гигиенических требований и поддержание благополучной эпизоотической обстановки на предприятии.</w:t>
      </w:r>
    </w:p>
    <w:p w14:paraId="7D986839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Сырьем для производства кормовой муки животного происхождения и кормового животного жира являются непищевые и малоценные отходы, образующиеся:</w:t>
      </w:r>
    </w:p>
    <w:p w14:paraId="5AE35DD9" w14:textId="77777777" w:rsidR="004B26BE" w:rsidRDefault="00107CE4">
      <w:pPr>
        <w:pStyle w:val="a5"/>
        <w:numPr>
          <w:ilvl w:val="0"/>
          <w:numId w:val="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приеме и доставке бройлеров;</w:t>
      </w:r>
    </w:p>
    <w:p w14:paraId="5F943382" w14:textId="77777777" w:rsidR="004B26BE" w:rsidRDefault="00107CE4">
      <w:pPr>
        <w:pStyle w:val="a5"/>
        <w:numPr>
          <w:ilvl w:val="0"/>
          <w:numId w:val="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первичной обработке птицы;</w:t>
      </w:r>
    </w:p>
    <w:p w14:paraId="5388EEB9" w14:textId="77777777" w:rsidR="004B26BE" w:rsidRDefault="00107CE4">
      <w:pPr>
        <w:pStyle w:val="a5"/>
        <w:numPr>
          <w:ilvl w:val="0"/>
          <w:numId w:val="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потрошении тушек;</w:t>
      </w:r>
    </w:p>
    <w:p w14:paraId="473B09A5" w14:textId="77777777" w:rsidR="004B26BE" w:rsidRDefault="00107CE4">
      <w:pPr>
        <w:pStyle w:val="a5"/>
        <w:numPr>
          <w:ilvl w:val="0"/>
          <w:numId w:val="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падеже птицы на площадках выращивания.</w:t>
      </w:r>
    </w:p>
    <w:p w14:paraId="3EEDE1FF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Производственный процесс состоит из следующих основных этапов: </w:t>
      </w:r>
    </w:p>
    <w:p w14:paraId="4703D26C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Транспортировка мягких отходов осуществляется вакуумным оборудованием фирмы «Stork» по системе трубопроводов. Кровь транспортируется по трубопроводам с использованием насосного оборудования фирмы «Stork».</w:t>
      </w:r>
    </w:p>
    <w:p w14:paraId="78AC4A7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Перо вместе с водой насосами фирмы «Stork» подается по трубопроводам на пресс. Отжатое перо поступает в накопительный бункер, а вода после сепаратора собирается в резервуар отработанной воды и с помощью рециркуляционного насоса возвращается обратно в цех для смыва пера и гидротранспортировки.</w:t>
      </w:r>
    </w:p>
    <w:p w14:paraId="04B14073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Доставка падежа птицы, костного остатка и ветеринарного конфиската в цех мясокостной переработки осуществляется автотранспортом.</w:t>
      </w:r>
    </w:p>
    <w:p w14:paraId="1F023C71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Костный остаток собираются накопительных емкостях в помещении приема сырья (источник ВВ 0002/001). Срок хранения сырья не превышает 12 часов, что обеспечивает высокое качество кормовой муки и эффективность системы очистки испарений. При хранении и перегрузке костного остатка в атмосферный воздух выделяется пыль меховая (шерстяная, пуховая). Образующаяся пыль удаляется системой вытяжной вентиляции и организованно выбрасывается в атмосферный воздух.</w:t>
      </w:r>
    </w:p>
    <w:p w14:paraId="33D58B8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Выброс загрязняющего вещества осуществляется через организованный источник выбросов. Высота источника выбросов составляет 8,0 м, диаметр устья источника - 0,315 м. Параметры источника выбросов приняты в соответствии с проектными характеристиками системы вентиляции.</w:t>
      </w:r>
    </w:p>
    <w:p w14:paraId="225670A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Переработка сырья. Из накопительных емкостей сырье насосами или конвейерами подается в варочные котлы. БМВД-1 (БЦ-40, БЦ-50), БМВД-2 (БЦ-20, БЦ-30), БМВД-3 (БЦ-10), БМВД-4 (БЦ-40, БЦ-50). Паспорт котла (сосуда, работающего под давлением) представлен в приложении 7. Загрузка осуществляется оператором после визуальной проверки наличия и достаточного объема сырья.</w:t>
      </w:r>
    </w:p>
    <w:p w14:paraId="692D138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Переработка отходов (гидролиз, стерилизация, сушка) осуществляется в варочных котлах:</w:t>
      </w:r>
    </w:p>
    <w:p w14:paraId="01541AB6" w14:textId="77777777" w:rsidR="004B26BE" w:rsidRDefault="00107CE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в первом котле перерабатывается ветеринарный конфискат и падеж птицы;</w:t>
      </w:r>
    </w:p>
    <w:p w14:paraId="12916FB8" w14:textId="77777777" w:rsidR="004B26BE" w:rsidRDefault="00107CE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 втором и третьем котлах перерабатываются перо и кровь;</w:t>
      </w:r>
    </w:p>
    <w:p w14:paraId="707790C7" w14:textId="77777777" w:rsidR="004B26BE" w:rsidRDefault="00107CE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четвертом и пятом котлах - мясокостные отходы;</w:t>
      </w:r>
    </w:p>
    <w:p w14:paraId="35FA0AB5" w14:textId="77777777" w:rsidR="004B26BE" w:rsidRDefault="00107CE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котлах проводится термическая обработка сырья.</w:t>
      </w:r>
    </w:p>
    <w:p w14:paraId="54798CE8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процессе работы аппаратного отделения образуется выброс пыли костной муки (в пересчете на белок) (источник ВВ 0002/002), который удаляется в атмосферный воздух через организованный источник выбросов. Параметры источника: высота – 8,0 м, диаметр устья – 0,315 м.</w:t>
      </w:r>
    </w:p>
    <w:p w14:paraId="561F813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Производство мясокостной муки (источник ВВ 0003/001). Продукт, полученный после термической обработки мясокостных отходов, направляется в пресс для отделения жира. Обезжиренная мука поступает в охладитель, где охлаждается до температуры, не превышающей температуру помещения более чем на 10 °С.</w:t>
      </w:r>
    </w:p>
    <w:p w14:paraId="11ADDCA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После охлаждения продукт проходит через магнитный уловитель и подается на дробилку для измельчения. Далее мука расфасовывается в биг-бэги, взвешивается и маркируется.</w:t>
      </w:r>
    </w:p>
    <w:p w14:paraId="55F69DD3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Жир, выделенный при прессовании, очищается с использованием вибросита и декантера. Очищенный жир накапливается в двух емкостях объемом по 10 м³.</w:t>
      </w:r>
    </w:p>
    <w:p w14:paraId="7111997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расфасовке готовой продукции образуется выброс пыли костной муки (в пересчете на белок) (источник выбросов ВВ 0003/001), который удаляется в атмосферный воздух через организованный источник выбросов. Параметры источника выбросов: высота – 8,0 м, диаметр устья – 0,315 м.</w:t>
      </w:r>
    </w:p>
    <w:p w14:paraId="4B396710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Производство перьевой и кровяной муки. Высушенная мука выгружается из котла в промежуточный бункер-охладитель, где охлаждается до температуры, не превышающей температуру помещения более чем на 10 °С.</w:t>
      </w:r>
    </w:p>
    <w:p w14:paraId="74339BF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Далее продукт проходит через систему просеивания, где отделяются грубые частицы и посторонние включения. Просеянная мука измельчается на дробилке и расфасовывается в биг-бэги с нанесением маркировки.</w:t>
      </w:r>
    </w:p>
    <w:p w14:paraId="7AF333AF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Очистка паров и дезодорация воздуха. Испарения, образующиеся в процессе сушки, через систему трубопроводов и циклон поступают в конденсатор воздушного охлаждения, где происходит конденсация паров.</w:t>
      </w:r>
    </w:p>
    <w:p w14:paraId="5F12C293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Несконденсированные газы удаляются вентилятором и направляются в скруббер (источник ВВ 0001/001-005). Конденсат отводится в систему водоочистки.</w:t>
      </w:r>
    </w:p>
    <w:p w14:paraId="6DBF60EF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работе варочных котлов в атмосферный воздух выделяются следующие загрязняющие вещества: меркаптаны, аммиак, сероводород, альдегиды (пропаналь), амины (диметиламин), спирты (пентанол), карбоновые кислоты (валериановая кислота), сульфиды (диметилсульфид), кетоны (ацетон), фенолы и метилмеркаптан.</w:t>
      </w:r>
    </w:p>
    <w:p w14:paraId="61F6A15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Образующиеся загрязняющие вещества удаляются системой местной вытяжной вентиляции и направляются в башню химической очистки (скруббер). После очистки газовоздушная смесь организованно выбрасывается в атмосферный воздух.</w:t>
      </w:r>
    </w:p>
    <w:p w14:paraId="4D996665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Выброс загрязняющих веществ осуществляется через организованный источник выбросов. Высота источника выбросов составляет 15,6 м, диаметр устья источника - 0,6 м. Параметры источника выбросов приняты в соответствии с проектными характеристиками системы вентиляции.</w:t>
      </w:r>
    </w:p>
    <w:p w14:paraId="10FA02F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Режим работы варочных котлов соответствует технологическому режиму работы предприятия.</w:t>
      </w:r>
    </w:p>
    <w:p w14:paraId="62508223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выполнения ремонтных работ на объекте предусмотрена слесарная мастерская (источник ВВ 0004/001-003), в которой размещено следующее оборудование:</w:t>
      </w:r>
    </w:p>
    <w:p w14:paraId="459D72B3" w14:textId="77777777" w:rsidR="004B26BE" w:rsidRDefault="00107CE4">
      <w:pPr>
        <w:pStyle w:val="a5"/>
        <w:numPr>
          <w:ilvl w:val="0"/>
          <w:numId w:val="6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сварочный пост ручной электродуговой сварки;</w:t>
      </w:r>
    </w:p>
    <w:p w14:paraId="44460BC7" w14:textId="77777777" w:rsidR="004B26BE" w:rsidRDefault="00107CE4">
      <w:pPr>
        <w:pStyle w:val="a5"/>
        <w:numPr>
          <w:ilvl w:val="0"/>
          <w:numId w:val="6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заточной станок с диаметром абразивного круга 350 мм;</w:t>
      </w:r>
    </w:p>
    <w:p w14:paraId="4E3EA776" w14:textId="77777777" w:rsidR="004B26BE" w:rsidRDefault="00107CE4">
      <w:pPr>
        <w:pStyle w:val="a5"/>
        <w:numPr>
          <w:ilvl w:val="0"/>
          <w:numId w:val="6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сверлильный станок.</w:t>
      </w:r>
    </w:p>
    <w:p w14:paraId="54AB2F5C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работе заточного и сверлильного станков в атмосферный воздух выделяются следующие загрязняющие вещества: абразивная пыль и взвешенные вещества.</w:t>
      </w:r>
    </w:p>
    <w:p w14:paraId="4644BFE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 эксплуатации сварочного поста в атмосферный воздух выделяются следующие загрязняющие вещества: железо (II) оксид, марганец и его соединения, хрома (VI) оксид, фтористые газообразные соединения (в пересчете на фтор).</w:t>
      </w:r>
    </w:p>
    <w:p w14:paraId="5683C95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Удаление загрязняющих веществ осуществляется организованным способом через систему вытяжной вентиляции с выбросом в атмосферный воздух. Высота источника выброса составляет 5,5 м, диаметр устья источника выброса - 0,3 м.</w:t>
      </w:r>
    </w:p>
    <w:p w14:paraId="18CF7A61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968D10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Краткое описание существенных воздействий намечаемой деятельности на окружающую среду</w:t>
      </w:r>
    </w:p>
    <w:p w14:paraId="2CAE9700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жизнь и здоровье населения ограничивается территорией предприятия и санитарно-защитной зоной. При соблюдении природоохранных мероприятий и технологических регламентов превышение нормативов качества окружающей среды не прогнозируется.</w:t>
      </w:r>
    </w:p>
    <w:p w14:paraId="40E39BF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биоразнообразие оценивается как незначительное. Изъятие природных территорий, уничтожение мест обитания животных, нарушение путей миграции животных и воздействие на генетические ресурсы не предусматриваются.</w:t>
      </w:r>
    </w:p>
    <w:p w14:paraId="76E318B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земельные ресурсы носит локальный характер и ограничивается территорией предприятия. Дополнительное изъятие земель не предусматривается.</w:t>
      </w:r>
    </w:p>
    <w:p w14:paraId="0137F0F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почвы может быть связано с обращением отходов и эксплуатацией оборудования. Для предотвращения загрязнения предусмотрены площадки с твердым покрытием, организованный сбор отходов и система отвода поверхностных вод. Воздействие, связанное с эрозией, уплотнением и деградацией почв, не прогнозируется.</w:t>
      </w:r>
    </w:p>
    <w:p w14:paraId="5A24B88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Забор воды из поверхностных и подземных источников не осуществляется. Сброс сточных вод в поверхностные водные объекты отсутствует. Изменение гидрологического режима водных объектов не предусматривается.</w:t>
      </w:r>
    </w:p>
    <w:p w14:paraId="4DC9049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Основное воздействие на атмосферный воздух связано с выбросами загрязняющих веществ от технологических процессов переработки непищевых отходов. По результатам расчетов рассеивания превышение нормативов качества атмосферного воздуха на границе санитарно-защитной зоны не прогнозируется.</w:t>
      </w:r>
    </w:p>
    <w:p w14:paraId="33C1F47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Воздействие на устойчивость экологических и социально-экономических систем к изменению климата оценивается как незначительное. </w:t>
      </w:r>
    </w:p>
    <w:p w14:paraId="32CC4A61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материальные активы не прогнозируется.</w:t>
      </w:r>
    </w:p>
    <w:p w14:paraId="624E3A3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объекты историко-культурного наследия, архитектурные и археологические объекты не предусматривается.</w:t>
      </w:r>
    </w:p>
    <w:p w14:paraId="6E1C14B0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ландшафт ограничивается территорией существующей промышленной зоны и не приводит к существенному изменению характера землепользования.</w:t>
      </w:r>
    </w:p>
    <w:p w14:paraId="4652936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Воздействие на окружающую среду носит комплексный характер и проявляется во взаимосвязи атмосферного воздуха, отходов производства и потребления, земельных ресурсов, водопотребления и условий проживания населения.</w:t>
      </w:r>
    </w:p>
    <w:p w14:paraId="68EEC796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6BC38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 и их захоронения</w:t>
      </w:r>
    </w:p>
    <w:p w14:paraId="6038B316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выбросах от источников предприятия содержится: 19 загрязняющих веществ и 3 группы веществ, обладающих эффектом вредного суммарного воздействия при совместном присутствии в атмосферном воздухе. </w:t>
      </w:r>
    </w:p>
    <w:p w14:paraId="7A3B30C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Объем выбросов вредных веществ на период 2026-2033 гг. составит:</w:t>
      </w:r>
    </w:p>
    <w:p w14:paraId="4BCC1232" w14:textId="77777777" w:rsidR="004B26BE" w:rsidRDefault="00107CE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максимально-разовый – 0,299403 г/сек; </w:t>
      </w:r>
    </w:p>
    <w:p w14:paraId="6EE2ED64" w14:textId="77777777" w:rsidR="004B26BE" w:rsidRDefault="00107CE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валовый выброс – 0,90184688 т/год.</w:t>
      </w:r>
    </w:p>
    <w:p w14:paraId="12B9FE61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Загрязняющими веществами являются: Железо (II, III) оксиды (диЖелезо триоксид, Железа оксид) /в пересчете на железо/ (274), Марганец и его соединения /в пересчете на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марганца (IV) оксид/ (327), Хром /в пересчете на хром (VI) оксид/ (Хром шестивалентный) (647), Аммиак (32), Сероводород (Дигидросульфид) (518), Фтористые газообразные соединения /в пересчете на фтор/ (617), Пентан-1-ол (Амиловый спирт) (453), Фенол (599), Пропаналь (Пропионовый альдегид, Метилуксусный альдегид) (465), Пропан-2-он (Ацетон) (470), Пентановая кислота (Валериановая кислота) (452), Диметилсульфид (227), Метантиол (Метилмеркаптан) (339), Этантиол (668), Диметиламин (195), Взвешенные частицы (116), Пыль костной муки /в пересчете на белок/ (1047*), Пыль меховая (шерстяная, пуховая) (1050*), Пыль абразивная (Корунд белый, Монокорунд) (1027*).</w:t>
      </w:r>
    </w:p>
    <w:p w14:paraId="04609C32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предприятии образуется 9 видов отходов, из которых 7 видов относится к неопасным и 2 вида к опасным.</w:t>
      </w:r>
    </w:p>
    <w:p w14:paraId="0954CC2F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Неопасные отходы:</w:t>
      </w:r>
    </w:p>
    <w:p w14:paraId="1529EC63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абсорбенты, фильтровальные материалы, ткани для вытирания, защитная одежда (код 15 02 03);</w:t>
      </w:r>
    </w:p>
    <w:p w14:paraId="045E461E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Смешанные коммунальные отходы (код 20 03 01);</w:t>
      </w:r>
    </w:p>
    <w:p w14:paraId="2FB4B08F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Отходы, сбор и размещение которых не подчиняются особым требованиям в целях предотвращения (перчатки нитриловые) (код 19 12 12);</w:t>
      </w:r>
    </w:p>
    <w:p w14:paraId="41E6389D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Смешанные металлы (код 17 04 07);</w:t>
      </w:r>
    </w:p>
    <w:p w14:paraId="3816B0A2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Дерево (поддоны) (код 20 01 38);</w:t>
      </w:r>
    </w:p>
    <w:p w14:paraId="59830945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Отходы подготовки и переработки мяса, рыбы и других продуктов животного происхождения (мясокостная мука с истекшим сроком) (код 16 03 06);</w:t>
      </w:r>
    </w:p>
    <w:p w14:paraId="130794C7" w14:textId="77777777" w:rsidR="004B26BE" w:rsidRDefault="00107CE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Пластмассовая упаковка (код 15 01 02);</w:t>
      </w:r>
    </w:p>
    <w:p w14:paraId="24E361AC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Опасные отходы:</w:t>
      </w:r>
    </w:p>
    <w:p w14:paraId="4226D2FC" w14:textId="77777777" w:rsidR="004B26BE" w:rsidRDefault="00107CE4">
      <w:pPr>
        <w:pStyle w:val="a5"/>
        <w:numPr>
          <w:ilvl w:val="0"/>
          <w:numId w:val="9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Синтетические гидравлические масла (код  13 01 11*);</w:t>
      </w:r>
    </w:p>
    <w:p w14:paraId="6678DCAB" w14:textId="77777777" w:rsidR="004B26BE" w:rsidRDefault="00107CE4">
      <w:pPr>
        <w:pStyle w:val="a5"/>
        <w:numPr>
          <w:ilvl w:val="0"/>
          <w:numId w:val="9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Другие моторные, трансмиссионные и смазочные масла (код 13 02 08*).</w:t>
      </w:r>
    </w:p>
    <w:p w14:paraId="45B68521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Общий объем образования отходов составляет 759,55 т/год.</w:t>
      </w:r>
    </w:p>
    <w:p w14:paraId="061E2A3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Захоронение отходов в рамках намечаемой деятельности не предусматривается.</w:t>
      </w:r>
    </w:p>
    <w:p w14:paraId="4E474B8A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Физические воздействия на окружающую среду связаны с работой технологического оборудования и транспортных средств. </w:t>
      </w:r>
    </w:p>
    <w:p w14:paraId="2029BDC2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18008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Информация о вероятности возникновения аварий и опасных природных явлений, характерных для намечаемой деятельности и предполагаемого места ее осуществления</w:t>
      </w:r>
    </w:p>
    <w:p w14:paraId="4379BAD4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деятельность ТОО «MEALPRO», связанная с производством мясокостной муки путем переработки сырья животного происхождения, осуществляется с применением технологических процессов термической обработки, сушки, измельчения и фасовки готовой продукции. В соответствии с требованиями Экологического кодекса Республики Казахстан деятельность предприятия относится к объектам, оказывающим воздействие на окружающую среду, при этом технологические процессы предусматривают применение инженерных и организационных мероприятий, направленных на предупреждение возникновения аварийных ситуаций и снижение негативного воздействия на окружающую среду.</w:t>
      </w:r>
    </w:p>
    <w:p w14:paraId="30011DA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наличие предусмотренных защитных мероприятий, полностью исключить вероятность возникновения аварийных ситуаций невозможно. В случае возникновения нештатных ситуаций предприятие обязано обеспечить оперативное реагирование, локализацию источника опасности, минимизацию последствий и восстановление безопасного состояния окружающей среды.</w:t>
      </w:r>
    </w:p>
    <w:p w14:paraId="35DC345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предприятии ТОО «MEALPRO» предусматривается проведение комплекса профилактических мероприятий по предупреждению аварийных ситуаций с учетом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экологической, санитарно-эпидемиологической и промышленной безопасности.</w:t>
      </w:r>
    </w:p>
    <w:p w14:paraId="5BD0B3D0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структурных подразделениях предприятия должны быть разработаны и утверждены планы действий при возникновении аварийных ситуаций, схемы оповещения ответственных работников, инструкции по безопасной эксплуатации оборудования, планы эвакуации персонала и порядок взаимодействия с аварийными службами.</w:t>
      </w:r>
    </w:p>
    <w:p w14:paraId="708F13F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предприятия несет ответственность за обеспечение безопасной эксплуатации производственных объектов, соблюдение требований законодательства Республики Казахстан в области охраны окружающей среды, санитарной безопасности и предотвращения чрезвычайных ситуаций.</w:t>
      </w:r>
    </w:p>
    <w:p w14:paraId="3BFDF00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аварийной ситуации должно быть обеспечено оперативное уведомление руководства предприятия, ответственных лиц за экологическую безопасность, а при необходимости - уполномоченных государственных органов. Для проведения аварийно-восстановительных мероприятий предприятие должно располагать необходимыми материальными ресурсами, средствами индивидуальной защиты, оборудованием и подготовленным персоналом.</w:t>
      </w:r>
    </w:p>
    <w:p w14:paraId="17EE1BC8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AC75F7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Краткое описание мер по предотвращению, сокращению и смягчению воздействий на окружающую среду</w:t>
      </w:r>
    </w:p>
    <w:p w14:paraId="073641F3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предотвращения, сокращения и смягчения воздействия на окружающую среду предусмотрены:</w:t>
      </w:r>
    </w:p>
    <w:p w14:paraId="478CCA1D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производственный экологический контроль;</w:t>
      </w:r>
    </w:p>
    <w:p w14:paraId="7F329545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мониторинг выбросов загрязняющих веществ;</w:t>
      </w:r>
    </w:p>
    <w:p w14:paraId="4B02E316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организованный сбор, накопление и передача отходов специализированным организациям;</w:t>
      </w:r>
    </w:p>
    <w:p w14:paraId="48CEA3A6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использование газоочистного оборудования;</w:t>
      </w:r>
    </w:p>
    <w:p w14:paraId="3A68FD48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соблюдение технологических регламентов;</w:t>
      </w:r>
    </w:p>
    <w:p w14:paraId="68C99529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регулярные внутренние экологические проверки;</w:t>
      </w:r>
    </w:p>
    <w:p w14:paraId="186C3637" w14:textId="77777777" w:rsidR="004B26BE" w:rsidRDefault="00107CE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своевременное техническое обслуживание оборудования.</w:t>
      </w:r>
    </w:p>
    <w:p w14:paraId="0A689A2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Потери биоразнообразия при реализации намечаемой деятельности не прогнозируются, в связи с чем компенсационные мероприятия не требуются.</w:t>
      </w:r>
    </w:p>
    <w:p w14:paraId="69EF5AAE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Необратимые воздействия на окружающую среду не прогнозируются.</w:t>
      </w:r>
    </w:p>
    <w:p w14:paraId="1E76B71B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случае прекращения деятельности предусматриваются демонтаж оборудования, вывоз отходов и материалов, очистка территории, проведение необходимых природоохранных мероприятий и приведение земельного участка в экологически безопасное состояние.</w:t>
      </w:r>
    </w:p>
    <w:p w14:paraId="4B5B3DE1" w14:textId="77777777" w:rsidR="004B26BE" w:rsidRDefault="004B26B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61CDFD" w14:textId="77777777" w:rsidR="004B26BE" w:rsidRDefault="00107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Список использованной литературы:</w:t>
      </w:r>
    </w:p>
    <w:p w14:paraId="71280FF0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Экологический кодекс РК от 02.01.2021 г.</w:t>
      </w:r>
    </w:p>
    <w:p w14:paraId="28F870C3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«Санитарно-эпидемиологическими требованиями к санитарно-защитным зонам объектов, являющихся объектами воздействия на среду обитания и здоровья человека», утвержденных приказом Исполняющий обязанности Министра здравоохранения РК от 11.01.2022г. №ҚР ДСМ-2.</w:t>
      </w:r>
    </w:p>
    <w:p w14:paraId="5E0AA501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17.2.3.02-78 «Охрана природы. Атмосфера. Правила установления допу-стимых выбросов вредных веществ промышленными предприятиями».</w:t>
      </w:r>
    </w:p>
    <w:p w14:paraId="59691218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17.2.1.03-84 «Охрана природы. Атмосфера. Термины и определения контроля загрязнения».</w:t>
      </w:r>
    </w:p>
    <w:p w14:paraId="2EE810CA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ГОСТ 17.2.1.04-77 «Охрана природы. Атмосфера. Источники и метеорологические факторы загрязнения, промышленные выбросы. Термины и определения».</w:t>
      </w:r>
    </w:p>
    <w:p w14:paraId="17D8E8B5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определения нормативов эмиссий в окружающую среду, утвержденной приказом Министра экологии, геологии и природных ресурсов от 10 марта 2021 года № 63.</w:t>
      </w:r>
    </w:p>
    <w:p w14:paraId="77641AA1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Унифицированная программа расчета величин концентраций загрязняющих веществ в атмосферном воздухе, «ЭРА» версия 3.0.</w:t>
      </w:r>
    </w:p>
    <w:p w14:paraId="565E7924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величин эмиссий в атмосферу загрязняющих веществ от основного технологического оборудования предприятий агропромышленного комплекса, перерабатывающих сырье животного происхождения (мясокомбинаты, клеевые  и желатиновые заводы и т.п.)</w:t>
      </w:r>
    </w:p>
    <w:p w14:paraId="015A2E3A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расчета выбросов загрязняющих веществ в атмосферу при механической обработке металлов (по величинам удельных выбросов), Астана 2005                               РНД 211.2.02.06-2004.</w:t>
      </w:r>
    </w:p>
    <w:p w14:paraId="7BAC19DE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Методика разработки проектов нормативов предельного размещения отходов производства и потребления», приложение № 16 к приказу Министра охраны окружающей среды Республики Казахстан от 18. 04 2008г., № 100-п.  </w:t>
      </w:r>
    </w:p>
    <w:p w14:paraId="14695FB3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расчёта лимитов накопления отходов и лимитов захоронения отходов от 22.06.2021г, №206.</w:t>
      </w:r>
    </w:p>
    <w:p w14:paraId="29891365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Санитарно-эпидемиологические требования к сбору, использованию, применению, обезвреживанию, транспортировке, хранению, и захоронению отходов производства и потребления от 25.12.2020 г., № ҚР ДСМ-331/2020.</w:t>
      </w:r>
    </w:p>
    <w:p w14:paraId="0AB9DA78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Классификатор отходов. Приказ и.о Министра экологии геологии и природных   ресурсов Республики Казахстан от 06.08.2021 г., № 314.</w:t>
      </w:r>
    </w:p>
    <w:p w14:paraId="16FED9BB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нормирования объёмов образования и размещения отходов производства, РНД 03.1.0.3.01-96. Алматы-1996.</w:t>
      </w:r>
    </w:p>
    <w:p w14:paraId="49F38DE2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разработки программы управления отходами. Приказ и.о. Министра экологии, геологии и природных ресурсов РК 09.08.2021 г., № 318.</w:t>
      </w:r>
    </w:p>
    <w:p w14:paraId="1F9704B9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 перевозок опасных грузов автотранспортными средствами, их проезда по территории Республики Казахстан, и квалификационные требования к водителям и автотранспортным средствам, перевозящим опасные грузы. Приказ и.о. Министра по инвестициям и развитию Республики Казахстан от 17 апреля 2015 года № 460</w:t>
      </w:r>
    </w:p>
    <w:p w14:paraId="7F9CFD14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Министра экологии, геологии и природных ресурсов Республики Казахстан от 14 июля 2021 года № 250 «Об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контроля».</w:t>
      </w:r>
    </w:p>
    <w:p w14:paraId="44A5DA3B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Земельный кодекс Республики Казахстан от 20 июня 2003 года №442- II.</w:t>
      </w:r>
    </w:p>
    <w:p w14:paraId="29B1EDEA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«Гигиенические нормативы к атмосферному воздуху в городских и сельских населенных пунктах, на территориях промышленных организаций» утв. Приказ Министра здравоохранения Республики Казахстан от 2 августа 2022 года                                      № ҚР ДСМ-70 приказ Министра здравоохранения Республики Казахстан от 2 августа 2022 года № ҚР ДСМ-70.</w:t>
      </w:r>
    </w:p>
    <w:p w14:paraId="2A00F3BD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Министра охраны окружающей среды Республики Казахстан от 31 мая 2007 года № 172-п Перечень, формы и сроки обмена информацией по ведению Единой государственной системы мониторинга окружающей среды и природных ресурсов.</w:t>
      </w:r>
    </w:p>
    <w:p w14:paraId="01936950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Проект нормативов эмиссий в окружающую среду. Нормативы допустимых выбросов загрязняющих веществ в атмосферу для мясокостного отделения                               ТОО «МEALPRO», расположенного в г. Макинск, Буландынского района, Акмолинской области на 2026-2033 годы. </w:t>
      </w:r>
    </w:p>
    <w:p w14:paraId="0F3BD8C3" w14:textId="77777777" w:rsidR="004B26BE" w:rsidRDefault="00107CE4">
      <w:pPr>
        <w:pStyle w:val="a5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Программа управления отходами для мясокостного отделения ТОО «МEALPRO», в г. Макинск, Буландинского района, Акмолинской области, Северо-западная промышленная зона, здание 4 на 2026-2033 годы.</w:t>
      </w:r>
    </w:p>
    <w:p w14:paraId="05F77B40" w14:textId="77777777" w:rsidR="004B26BE" w:rsidRDefault="004B26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4B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1BB"/>
    <w:multiLevelType w:val="hybridMultilevel"/>
    <w:tmpl w:val="73A0299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2D2D24"/>
    <w:multiLevelType w:val="hybridMultilevel"/>
    <w:tmpl w:val="E2989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FB6FE1"/>
    <w:multiLevelType w:val="hybridMultilevel"/>
    <w:tmpl w:val="E2AC91EC"/>
    <w:lvl w:ilvl="0" w:tplc="0CBE1130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3433F"/>
    <w:multiLevelType w:val="hybridMultilevel"/>
    <w:tmpl w:val="0E064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192B8F"/>
    <w:multiLevelType w:val="hybridMultilevel"/>
    <w:tmpl w:val="84146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D67AFE"/>
    <w:multiLevelType w:val="hybridMultilevel"/>
    <w:tmpl w:val="7DD61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E14132"/>
    <w:multiLevelType w:val="hybridMultilevel"/>
    <w:tmpl w:val="C3F0709E"/>
    <w:lvl w:ilvl="0" w:tplc="C4A20CB6">
      <w:numFmt w:val="bullet"/>
      <w:lvlText w:val="•"/>
      <w:lvlJc w:val="left"/>
      <w:pPr>
        <w:ind w:left="2138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40006B"/>
    <w:multiLevelType w:val="hybridMultilevel"/>
    <w:tmpl w:val="8A845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464EA5"/>
    <w:multiLevelType w:val="hybridMultilevel"/>
    <w:tmpl w:val="9168B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727435"/>
    <w:multiLevelType w:val="hybridMultilevel"/>
    <w:tmpl w:val="0E7E4466"/>
    <w:lvl w:ilvl="0" w:tplc="C4A20CB6">
      <w:numFmt w:val="bullet"/>
      <w:lvlText w:val="•"/>
      <w:lvlJc w:val="left"/>
      <w:pPr>
        <w:ind w:left="1429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21D17EB"/>
    <w:multiLevelType w:val="hybridMultilevel"/>
    <w:tmpl w:val="9696836C"/>
    <w:lvl w:ilvl="0" w:tplc="C4A20CB6">
      <w:numFmt w:val="bullet"/>
      <w:lvlText w:val="•"/>
      <w:lvlJc w:val="left"/>
      <w:pPr>
        <w:ind w:left="2138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8171390">
    <w:abstractNumId w:val="8"/>
  </w:num>
  <w:num w:numId="2" w16cid:durableId="748112690">
    <w:abstractNumId w:val="0"/>
  </w:num>
  <w:num w:numId="3" w16cid:durableId="1207836363">
    <w:abstractNumId w:val="1"/>
  </w:num>
  <w:num w:numId="4" w16cid:durableId="873613648">
    <w:abstractNumId w:val="3"/>
  </w:num>
  <w:num w:numId="5" w16cid:durableId="1249387027">
    <w:abstractNumId w:val="5"/>
  </w:num>
  <w:num w:numId="6" w16cid:durableId="1091780242">
    <w:abstractNumId w:val="4"/>
  </w:num>
  <w:num w:numId="7" w16cid:durableId="1563633571">
    <w:abstractNumId w:val="9"/>
  </w:num>
  <w:num w:numId="8" w16cid:durableId="1179001679">
    <w:abstractNumId w:val="6"/>
  </w:num>
  <w:num w:numId="9" w16cid:durableId="962347582">
    <w:abstractNumId w:val="10"/>
  </w:num>
  <w:num w:numId="10" w16cid:durableId="1757677336">
    <w:abstractNumId w:val="7"/>
  </w:num>
  <w:num w:numId="11" w16cid:durableId="5243530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6BE"/>
    <w:rsid w:val="00107CE4"/>
    <w:rsid w:val="003D3BD1"/>
    <w:rsid w:val="00490E1A"/>
    <w:rsid w:val="004B26BE"/>
    <w:rsid w:val="00A3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68D4"/>
  <w15:docId w15:val="{6E3A79DF-157A-4FC6-BFCE-D2B1D4B5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ind w:right="-144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ТАБЛИЦА,Раздел,Список МАРКЕРОВ,List Paragraph1,corp de texte,Таблицы,Текстовая"/>
    <w:basedOn w:val="a"/>
    <w:link w:val="a6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ТАБЛИЦА Знак,Раздел Знак,Список МАРКЕРОВ Знак,List Paragraph1 Знак,corp de texte Знак,Таблицы Знак,Текстовая Знак"/>
    <w:link w:val="a5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194">
    <w:name w:val="Font Style194"/>
    <w:uiPriority w:val="99"/>
    <w:rPr>
      <w:rFonts w:ascii="Arial" w:hAnsi="Arial" w:cs="Arial"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aliases w:val="Title Down,Footer_ARGOSS"/>
    <w:basedOn w:val="a"/>
    <w:link w:val="aa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aliases w:val="Title Down Знак,Footer_ARGOSS Знак"/>
    <w:basedOn w:val="a0"/>
    <w:link w:val="a9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,Обычный (веб) Знак1,Обычный (веб) Знак Знак1,Знак Знак1 Знак,Обычный (веб) Знак Знак Знак,Знак Знак1 Знак Знак,Обычный (веб) Знак Знак Знак Знак,Обычный (веб) Знак,Обычный (Web) Знак1,Знак Знак2"/>
    <w:basedOn w:val="a"/>
    <w:link w:val="af0"/>
    <w:uiPriority w:val="99"/>
    <w:qFormat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isselectedend">
    <w:name w:val="isselecteden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Интернет) Знак"/>
    <w:aliases w:val="Обычный (Web) Знак,Обычный (веб)1 Знак,Обычный (веб) Знак1 Знак,Обычный (веб) Знак Знак1 Знак,Знак Знак1 Знак Знак1,Обычный (веб) Знак Знак Знак Знак1,Знак Знак1 Знак Знак Знак,Обычный (веб) Знак Знак Знак Знак Знак"/>
    <w:link w:val="af"/>
    <w:uiPriority w:val="99"/>
    <w:locked/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6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93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4060</Words>
  <Characters>23145</Characters>
  <Application>Microsoft Office Word</Application>
  <DocSecurity>4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Irzhik</dc:creator>
  <cp:lastModifiedBy>Магзумова Бибигуль [AKZ]</cp:lastModifiedBy>
  <cp:revision>2</cp:revision>
  <cp:lastPrinted>2026-02-24T10:31:00Z</cp:lastPrinted>
  <dcterms:created xsi:type="dcterms:W3CDTF">2026-08-14T17:30:00Z</dcterms:created>
  <dcterms:modified xsi:type="dcterms:W3CDTF">2026-08-14T17:30:00Z</dcterms:modified>
</cp:coreProperties>
</file>