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1F7" w:rsidRPr="00F538BD" w:rsidRDefault="009B31F7" w:rsidP="009B31F7">
      <w:pPr>
        <w:ind w:firstLine="709"/>
        <w:jc w:val="both"/>
        <w:rPr>
          <w:sz w:val="28"/>
          <w:szCs w:val="28"/>
        </w:rPr>
      </w:pPr>
      <w:r w:rsidRPr="00F538BD">
        <w:rPr>
          <w:sz w:val="28"/>
          <w:szCs w:val="28"/>
        </w:rPr>
        <w:t>Настоящий Отчет о возможных воздействиях разработан для намечаемой деятельности по рабочему проекту «Строительство (сооружение) технологических трубопроводов и кислотопроводов на 2026 и 2027 гг., расположенного в Сузакском районе Туркестанской области и Шиелийском районе Кызылординской области» в соответствии с требованиями Экологического кодекса Республики Казахстан и Инструкции по организации и проведению экологической оценки.</w:t>
      </w:r>
    </w:p>
    <w:p w:rsidR="009B31F7" w:rsidRPr="00F538BD" w:rsidRDefault="009B31F7" w:rsidP="009B31F7">
      <w:pPr>
        <w:ind w:firstLine="709"/>
        <w:jc w:val="both"/>
        <w:rPr>
          <w:sz w:val="28"/>
          <w:szCs w:val="28"/>
        </w:rPr>
      </w:pPr>
      <w:r w:rsidRPr="00F538BD">
        <w:rPr>
          <w:sz w:val="28"/>
          <w:szCs w:val="28"/>
        </w:rPr>
        <w:t>Инициатором намечаемой деятельности является ТОО «СП «Южная горно-химическая компания», разработчиком проектной документации — ТОО «SAAF Group». Проектируемые объекты располагаются в пределах действующей промышленной территории рудника «Южный Инкай», ориентировочно в 5 км южнее поселка Тайконур.</w:t>
      </w:r>
    </w:p>
    <w:p w:rsidR="009B31F7" w:rsidRPr="00F538BD" w:rsidRDefault="009B31F7" w:rsidP="009B31F7">
      <w:pPr>
        <w:ind w:firstLine="709"/>
        <w:jc w:val="both"/>
        <w:rPr>
          <w:sz w:val="28"/>
          <w:szCs w:val="28"/>
        </w:rPr>
      </w:pPr>
      <w:r w:rsidRPr="00F538BD">
        <w:rPr>
          <w:sz w:val="28"/>
          <w:szCs w:val="28"/>
        </w:rPr>
        <w:t>Целью проекта является создание необходимой технологической инфраструктуры для освоения новых технологических блоков и обеспечения процесса добычи урана методом подземного скважинного выщелачивания. Проектом предусматривается строительство технологических трубопроводов для транспортирования продуктивных и выщелачивающих растворов, а также трубопроводов концентрированной серной кислоты.</w:t>
      </w:r>
    </w:p>
    <w:p w:rsidR="009B31F7" w:rsidRDefault="009B31F7" w:rsidP="009B31F7">
      <w:pPr>
        <w:ind w:firstLine="709"/>
        <w:jc w:val="both"/>
        <w:rPr>
          <w:sz w:val="28"/>
          <w:szCs w:val="28"/>
        </w:rPr>
      </w:pPr>
      <w:r w:rsidRPr="00F538BD">
        <w:rPr>
          <w:sz w:val="28"/>
          <w:szCs w:val="28"/>
        </w:rPr>
        <w:t>Продолжительность строительства составляет 9 месяцев в Сузакском районе Туркестанской области и 8 месяцев в Шиелийском районе Кызылординской области. Возможное воздействие на окружающую среду преимущественно связано с периодом выполнения строительно-монтажных работ и носит временный и локальный характер. В Отчете приведена оценка возможных воздействий на компоненты окружающей среды, рассмотрены вероятные аварийные ситуации и предусмотрены мероприятия по предупреждению, снижению и устранению неблагоприятных последствий намечаемой деятельности.</w:t>
      </w:r>
    </w:p>
    <w:p w:rsidR="009B31F7" w:rsidRPr="0071139D" w:rsidRDefault="009B31F7" w:rsidP="009B31F7">
      <w:pPr>
        <w:pStyle w:val="a3"/>
        <w:ind w:left="2" w:right="136" w:firstLine="707"/>
        <w:rPr>
          <w:sz w:val="28"/>
          <w:szCs w:val="28"/>
        </w:rPr>
      </w:pPr>
      <w:r w:rsidRPr="0071139D">
        <w:rPr>
          <w:sz w:val="28"/>
          <w:szCs w:val="28"/>
        </w:rPr>
        <w:t>Согласно подпункту 10.1 пункта 10 раздела 2 приложения 1 к Экологическому кодексу Республики Казахстан намечаемая деятельность относится к трубопроводам и промышленным сооружениям для транспортировки химических веществ длиной более 5 км. В связи с этим проект подлежит процедуре скрининга воздействий намечаемой деятельности.</w:t>
      </w:r>
    </w:p>
    <w:p w:rsidR="009B31F7" w:rsidRPr="0071139D" w:rsidRDefault="009B31F7" w:rsidP="009B31F7">
      <w:pPr>
        <w:pStyle w:val="a3"/>
        <w:ind w:left="2" w:right="136" w:firstLine="707"/>
        <w:rPr>
          <w:sz w:val="28"/>
          <w:szCs w:val="28"/>
        </w:rPr>
      </w:pPr>
      <w:r w:rsidRPr="0071139D">
        <w:rPr>
          <w:sz w:val="28"/>
          <w:szCs w:val="28"/>
        </w:rPr>
        <w:t>Проектируемые технологические трубопроводы продуктивных и выщелачивающих растворов, а также кислотопроводы располагаются в пределах действующего геотехнологического полигона рудника «Южный Инкай» и являются элементами существующей технологической схемы добычи урана методом подземного скважинного выщелачивания. Самостоятельное производство, добыча или переработка урана непосредственно на проектируемых объектах не предусматриваются.</w:t>
      </w:r>
    </w:p>
    <w:p w:rsidR="009B31F7" w:rsidRPr="0071139D" w:rsidRDefault="009B31F7" w:rsidP="009B31F7">
      <w:pPr>
        <w:pStyle w:val="a3"/>
        <w:ind w:left="2" w:right="136" w:firstLine="707"/>
        <w:rPr>
          <w:sz w:val="28"/>
          <w:szCs w:val="28"/>
        </w:rPr>
      </w:pPr>
      <w:r w:rsidRPr="0071139D">
        <w:rPr>
          <w:sz w:val="28"/>
          <w:szCs w:val="28"/>
        </w:rPr>
        <w:t xml:space="preserve">В соответствии с пунктом 3 статьи 12 Экологического кодекса Республики Казахстан технологически связанные виды деятельности, осуществляемые в пределах одной промышленной площадки, рассматриваются в составе единого стационарного технологического объекта. Учитывая, что проектируемые трубопроводы технологически </w:t>
      </w:r>
      <w:r w:rsidRPr="0071139D">
        <w:rPr>
          <w:sz w:val="28"/>
          <w:szCs w:val="28"/>
        </w:rPr>
        <w:lastRenderedPageBreak/>
        <w:t>связаны с действующим рудником «Южный Инкай», намечаемая деятельность рассматривается как строительно-монтажные работы, осуществляемые на объекте I категории.</w:t>
      </w:r>
    </w:p>
    <w:p w:rsidR="009B31F7" w:rsidRPr="0071139D" w:rsidRDefault="009B31F7" w:rsidP="009B31F7">
      <w:pPr>
        <w:pStyle w:val="a3"/>
        <w:ind w:left="2" w:right="136" w:firstLine="707"/>
        <w:rPr>
          <w:sz w:val="28"/>
          <w:szCs w:val="28"/>
        </w:rPr>
      </w:pPr>
      <w:r w:rsidRPr="0071139D">
        <w:rPr>
          <w:sz w:val="28"/>
          <w:szCs w:val="28"/>
        </w:rPr>
        <w:t>Согласно подпункту 2 пункта 10 Инструкции по определению категории объекта, утвержденной приказом Министра экологии, геологии и природных ресурсов Республики Казахстан от 13 июля 2021 года № 246, строительно-монтажные работы на объекте I категории, вносящие изменения в технологический процесс такого объекта, относятся к I категории, оказывающей значительное негативное воздействие на окружающую среду. Инструкция по определению категории объекта.</w:t>
      </w:r>
    </w:p>
    <w:p w:rsidR="009B31F7" w:rsidRPr="0071139D" w:rsidRDefault="009B31F7" w:rsidP="009B31F7">
      <w:pPr>
        <w:pStyle w:val="a3"/>
        <w:ind w:left="2" w:right="136" w:firstLine="707"/>
        <w:rPr>
          <w:sz w:val="28"/>
          <w:szCs w:val="28"/>
        </w:rPr>
      </w:pPr>
      <w:r w:rsidRPr="0071139D">
        <w:rPr>
          <w:sz w:val="28"/>
          <w:szCs w:val="28"/>
        </w:rPr>
        <w:t>При этом проектом не предусматриваются изменение основного способа добычи урана, увеличение производительности предприятия, объемов добычи и переработки урана, а также увеличение эмиссий в период эксплуатации. Воздействие на окружающую среду преимущественно связано с периодом строительно-монтажных работ и носит временный и локальный характер.</w:t>
      </w:r>
    </w:p>
    <w:p w:rsidR="009B31F7" w:rsidRDefault="009B31F7" w:rsidP="009B31F7">
      <w:pPr>
        <w:pStyle w:val="a3"/>
        <w:ind w:left="2" w:right="136" w:firstLine="707"/>
        <w:rPr>
          <w:sz w:val="28"/>
          <w:szCs w:val="28"/>
        </w:rPr>
      </w:pPr>
      <w:r w:rsidRPr="0071139D">
        <w:rPr>
          <w:sz w:val="28"/>
          <w:szCs w:val="28"/>
        </w:rPr>
        <w:t>По результатам скрининга Департаментом экологии по Туркестанской области выдано заключение № KZ29VWF00620533 от 07.08.2026 года, которым проведение обязательной оценки воздействия на окружающую среду по намечаемой деятельности признано необходимым. Таким образом, намечаемая деятельность рассматривается в составе объекта I категории с проведением обязательной оценки воздействия на окружающую среду.</w:t>
      </w:r>
    </w:p>
    <w:p w:rsidR="009B31F7" w:rsidRPr="00B606D3" w:rsidRDefault="009B31F7" w:rsidP="009B31F7">
      <w:pPr>
        <w:ind w:left="2" w:firstLine="707"/>
        <w:jc w:val="both"/>
        <w:rPr>
          <w:sz w:val="28"/>
          <w:szCs w:val="28"/>
        </w:rPr>
      </w:pPr>
      <w:r w:rsidRPr="00B606D3">
        <w:rPr>
          <w:i/>
          <w:sz w:val="28"/>
          <w:szCs w:val="28"/>
        </w:rPr>
        <w:t>Составитель</w:t>
      </w:r>
      <w:r w:rsidRPr="00B606D3">
        <w:rPr>
          <w:i/>
          <w:spacing w:val="60"/>
          <w:w w:val="150"/>
          <w:sz w:val="28"/>
          <w:szCs w:val="28"/>
        </w:rPr>
        <w:t xml:space="preserve"> </w:t>
      </w:r>
      <w:r w:rsidRPr="00B606D3">
        <w:rPr>
          <w:i/>
          <w:sz w:val="28"/>
          <w:szCs w:val="28"/>
        </w:rPr>
        <w:t>отчета:</w:t>
      </w:r>
      <w:r w:rsidRPr="00B606D3">
        <w:rPr>
          <w:i/>
          <w:spacing w:val="59"/>
          <w:w w:val="150"/>
          <w:sz w:val="28"/>
          <w:szCs w:val="28"/>
        </w:rPr>
        <w:t xml:space="preserve"> </w:t>
      </w:r>
      <w:r w:rsidRPr="00B606D3">
        <w:rPr>
          <w:sz w:val="28"/>
          <w:szCs w:val="28"/>
        </w:rPr>
        <w:t>ТОО</w:t>
      </w:r>
      <w:r w:rsidRPr="00B606D3">
        <w:rPr>
          <w:spacing w:val="60"/>
          <w:w w:val="150"/>
          <w:sz w:val="28"/>
          <w:szCs w:val="28"/>
        </w:rPr>
        <w:t xml:space="preserve"> </w:t>
      </w:r>
      <w:r w:rsidRPr="00B606D3">
        <w:rPr>
          <w:sz w:val="28"/>
          <w:szCs w:val="28"/>
        </w:rPr>
        <w:t>«</w:t>
      </w:r>
      <w:r w:rsidRPr="00B606D3">
        <w:rPr>
          <w:sz w:val="28"/>
          <w:szCs w:val="28"/>
          <w:lang w:val="en-US"/>
        </w:rPr>
        <w:t>SAAF</w:t>
      </w:r>
      <w:r w:rsidRPr="00B606D3">
        <w:rPr>
          <w:sz w:val="28"/>
          <w:szCs w:val="28"/>
        </w:rPr>
        <w:t xml:space="preserve"> </w:t>
      </w:r>
      <w:r w:rsidRPr="00B606D3">
        <w:rPr>
          <w:sz w:val="28"/>
          <w:szCs w:val="28"/>
          <w:lang w:val="en-US"/>
        </w:rPr>
        <w:t>Group</w:t>
      </w:r>
      <w:r w:rsidRPr="00B606D3">
        <w:rPr>
          <w:sz w:val="28"/>
          <w:szCs w:val="28"/>
        </w:rPr>
        <w:t>»,</w:t>
      </w:r>
      <w:r w:rsidRPr="00B606D3">
        <w:rPr>
          <w:spacing w:val="60"/>
          <w:w w:val="150"/>
          <w:sz w:val="28"/>
          <w:szCs w:val="28"/>
        </w:rPr>
        <w:t xml:space="preserve"> </w:t>
      </w:r>
      <w:r w:rsidRPr="00B606D3">
        <w:rPr>
          <w:sz w:val="28"/>
          <w:szCs w:val="28"/>
        </w:rPr>
        <w:t>БИН</w:t>
      </w:r>
      <w:r w:rsidRPr="00B606D3">
        <w:rPr>
          <w:spacing w:val="60"/>
          <w:w w:val="150"/>
          <w:sz w:val="28"/>
          <w:szCs w:val="28"/>
        </w:rPr>
        <w:t xml:space="preserve"> </w:t>
      </w:r>
      <w:r w:rsidRPr="00B606D3">
        <w:rPr>
          <w:sz w:val="28"/>
          <w:szCs w:val="28"/>
        </w:rPr>
        <w:t>051240000642.</w:t>
      </w:r>
      <w:r w:rsidRPr="00B606D3">
        <w:rPr>
          <w:spacing w:val="59"/>
          <w:w w:val="150"/>
          <w:sz w:val="28"/>
          <w:szCs w:val="28"/>
        </w:rPr>
        <w:t xml:space="preserve"> </w:t>
      </w:r>
      <w:r w:rsidRPr="00B606D3">
        <w:rPr>
          <w:sz w:val="28"/>
          <w:szCs w:val="28"/>
        </w:rPr>
        <w:t>г. Шымкент, Проспект Байдибек Би, 116, 7/14</w:t>
      </w:r>
    </w:p>
    <w:p w:rsidR="009B31F7" w:rsidRPr="00B606D3" w:rsidRDefault="009B31F7" w:rsidP="009B31F7">
      <w:pPr>
        <w:pStyle w:val="a3"/>
        <w:ind w:left="2" w:right="138" w:firstLine="707"/>
        <w:rPr>
          <w:sz w:val="28"/>
          <w:szCs w:val="28"/>
        </w:rPr>
      </w:pPr>
      <w:r w:rsidRPr="00B606D3">
        <w:rPr>
          <w:sz w:val="28"/>
          <w:szCs w:val="28"/>
        </w:rPr>
        <w:t>Разработчик Отчета о возможных воздействиях ТОО «SAAF Group», имеет Государственные лицензии на Выполнение работ и оказание услуг в области охраны окружающей среды № 02646Р от 30 октября 2012г., выданная Республиканское государственное учреждение «Комитет экологического регулирования и контроля Министерства экологии, геологии и природных ресурсов Республики Казахстан» Министерство экологии, геологии и природных ресурсов Республики Казахстан.</w:t>
      </w:r>
    </w:p>
    <w:p w:rsidR="009B31F7" w:rsidRPr="00112A87" w:rsidRDefault="009B31F7" w:rsidP="009B31F7">
      <w:pPr>
        <w:ind w:firstLine="567"/>
        <w:jc w:val="both"/>
        <w:rPr>
          <w:sz w:val="28"/>
          <w:szCs w:val="28"/>
        </w:rPr>
      </w:pPr>
      <w:r w:rsidRPr="00112A87">
        <w:rPr>
          <w:sz w:val="28"/>
          <w:szCs w:val="28"/>
        </w:rPr>
        <w:t>Намечаемая деятельность реализуется на территории Сузакского района Туркестанской области, в пределах действующего рудника «Южный Инкай» месторождения «Инкай», эксплуатируемого ТОО «СП «Южная горно-химическая компания». В рамках настоящего Отчета рассматривается исключительно часть рабочего проекта, расположенная на территории Туркестанской области.</w:t>
      </w:r>
    </w:p>
    <w:p w:rsidR="009B31F7" w:rsidRPr="00112A87" w:rsidRDefault="009B31F7" w:rsidP="009B31F7">
      <w:pPr>
        <w:ind w:firstLine="567"/>
        <w:jc w:val="both"/>
        <w:rPr>
          <w:sz w:val="28"/>
          <w:szCs w:val="28"/>
        </w:rPr>
      </w:pPr>
      <w:r w:rsidRPr="00112A87">
        <w:rPr>
          <w:sz w:val="28"/>
          <w:szCs w:val="28"/>
        </w:rPr>
        <w:t>Проектируемые технологические трубопроводы и кислотопроводы размещаются в границах существующей производственной территории, непосредственно в пределах действующего геотехнологического поля. Рассматриваемые объекты являются линейными сооружениями и технологически связаны с существующей системой добычи урана методом подземного скважинного выщелачивания.</w:t>
      </w:r>
    </w:p>
    <w:p w:rsidR="009B31F7" w:rsidRPr="00112A87" w:rsidRDefault="009B31F7" w:rsidP="009B31F7">
      <w:pPr>
        <w:ind w:firstLine="567"/>
        <w:jc w:val="both"/>
        <w:rPr>
          <w:sz w:val="28"/>
          <w:szCs w:val="28"/>
        </w:rPr>
      </w:pPr>
      <w:r w:rsidRPr="00112A87">
        <w:rPr>
          <w:sz w:val="28"/>
          <w:szCs w:val="28"/>
        </w:rPr>
        <w:t xml:space="preserve">Участок намечаемой деятельности расположен ориентировочно в 5-5,5 км южнее поселка Тайконур. Промышленная территория связана с поселком </w:t>
      </w:r>
      <w:r w:rsidRPr="00112A87">
        <w:rPr>
          <w:sz w:val="28"/>
          <w:szCs w:val="28"/>
        </w:rPr>
        <w:lastRenderedPageBreak/>
        <w:t>грунтовой автомобильной дорогой. Ближайшими крупными населенными пунктами района являются Сузак, Таукент и Шолаккорган, расположенные в предгорной части хребта Каратау. Ближайшими крупными городами являются Кызылорда, Туркестан и Шымкент.</w:t>
      </w:r>
    </w:p>
    <w:p w:rsidR="009B31F7" w:rsidRPr="00112A87" w:rsidRDefault="009B31F7" w:rsidP="009B31F7">
      <w:pPr>
        <w:ind w:firstLine="567"/>
        <w:jc w:val="both"/>
        <w:rPr>
          <w:sz w:val="28"/>
          <w:szCs w:val="28"/>
        </w:rPr>
      </w:pPr>
      <w:r w:rsidRPr="00112A87">
        <w:rPr>
          <w:sz w:val="28"/>
          <w:szCs w:val="28"/>
        </w:rPr>
        <w:t>Территория рудника обеспечена существующей транспортной и производственной инфраструктурой. Доставка материалов осуществляется автомобильным транспортом со станций Шиели и Сузак. Энергоснабжение обеспечивается существующими линиями электропередачи, техническое водоснабжение района — скважинными водозаборами. На территории рудника имеются действующие геотехнологические полигоны, технологические скважины, трубопроводы, производственные объекты и внутриплощадочные автомобильные дороги.</w:t>
      </w:r>
    </w:p>
    <w:p w:rsidR="009B31F7" w:rsidRPr="00112A87" w:rsidRDefault="009B31F7" w:rsidP="009B31F7">
      <w:pPr>
        <w:ind w:firstLine="567"/>
        <w:jc w:val="both"/>
        <w:rPr>
          <w:sz w:val="28"/>
          <w:szCs w:val="28"/>
        </w:rPr>
      </w:pPr>
      <w:r w:rsidRPr="00112A87">
        <w:rPr>
          <w:sz w:val="28"/>
          <w:szCs w:val="28"/>
        </w:rPr>
        <w:t>Проектируемые объекты размещаются на землях существующего промышленного назначения, находящихся в границах земельного отвода ТОО «СП «ЮГХК». Строительство новой самостоятельной промышленной площадки, освоение территории за пределами действующего рудника и изменение целевого назначения земель проектом не предусматриваются.</w:t>
      </w:r>
    </w:p>
    <w:p w:rsidR="009B31F7" w:rsidRPr="00112A87" w:rsidRDefault="009B31F7" w:rsidP="009B31F7">
      <w:pPr>
        <w:ind w:firstLine="567"/>
        <w:jc w:val="both"/>
        <w:rPr>
          <w:sz w:val="28"/>
          <w:szCs w:val="28"/>
        </w:rPr>
      </w:pPr>
      <w:r w:rsidRPr="00112A87">
        <w:rPr>
          <w:sz w:val="28"/>
          <w:szCs w:val="28"/>
        </w:rPr>
        <w:t>Месторождение «Инкай» расположено в пределах Чу-Сарысуйской депрессии. Район характеризуется равнинным рельефом, резко континентальным климатом, высокой сухостью воздуха, незначительным количеством атмосферных осадков, жарким летом, холодной зимой и значительными суточными и сезонными колебаниями температуры. Для территории характерны сильные ветры и высокая испаряемость.</w:t>
      </w:r>
    </w:p>
    <w:p w:rsidR="009B31F7" w:rsidRPr="00112A87" w:rsidRDefault="009B31F7" w:rsidP="009B31F7">
      <w:pPr>
        <w:ind w:firstLine="567"/>
        <w:jc w:val="both"/>
        <w:rPr>
          <w:sz w:val="28"/>
          <w:szCs w:val="28"/>
        </w:rPr>
      </w:pPr>
      <w:r w:rsidRPr="00112A87">
        <w:rPr>
          <w:sz w:val="28"/>
          <w:szCs w:val="28"/>
        </w:rPr>
        <w:t>Почвенно-растительный покров соответствует условиям пустынной и полупустынной зоны Южного Казахстана. Распространены песчаные, глинистые и суглинистые грунты различной степени засоления. Растительность представлена преимущественно солончаково-боялычовыми сообществами и разреженными насаждениями саксаула. Инженерно-геологическими выработками глубиной до 6 м подземные воды не вскрыты.</w:t>
      </w:r>
    </w:p>
    <w:p w:rsidR="009B31F7" w:rsidRPr="00112A87" w:rsidRDefault="009B31F7" w:rsidP="009B31F7">
      <w:pPr>
        <w:ind w:firstLine="567"/>
        <w:jc w:val="both"/>
        <w:rPr>
          <w:sz w:val="28"/>
          <w:szCs w:val="28"/>
        </w:rPr>
      </w:pPr>
      <w:r w:rsidRPr="00112A87">
        <w:rPr>
          <w:sz w:val="28"/>
          <w:szCs w:val="28"/>
        </w:rPr>
        <w:t>Трассы трубопроводов выбираются с учетом расположения существующих и осваиваемых технологических блоков, действующих коммуникаций, внутриплощадочных дорог, рельефа и требований промышленной безопасности. Трубопроводы продуктивных и выщелачивающих растворов предусматриваются наземной прокладки в единой обваловке, а кислотопроводы — надземной прокладки на опорных конструкциях.</w:t>
      </w:r>
    </w:p>
    <w:p w:rsidR="009B31F7" w:rsidRPr="00112A87" w:rsidRDefault="009B31F7" w:rsidP="009B31F7">
      <w:pPr>
        <w:ind w:firstLine="567"/>
        <w:jc w:val="both"/>
        <w:rPr>
          <w:sz w:val="28"/>
          <w:szCs w:val="28"/>
        </w:rPr>
      </w:pPr>
      <w:r w:rsidRPr="00112A87">
        <w:rPr>
          <w:sz w:val="28"/>
          <w:szCs w:val="28"/>
        </w:rPr>
        <w:t>Проектом не предусматриваются строительство новых складов серной кислоты, резервуарных парков, емкостей хранения концентрированной серной кислоты, пескоотстойников и иных объектов с открытой поверхностью испарения технологических растворов.</w:t>
      </w:r>
    </w:p>
    <w:p w:rsidR="009B31F7" w:rsidRPr="00112A87" w:rsidRDefault="009B31F7" w:rsidP="009B31F7">
      <w:pPr>
        <w:ind w:firstLine="567"/>
        <w:jc w:val="both"/>
        <w:rPr>
          <w:sz w:val="28"/>
          <w:szCs w:val="28"/>
        </w:rPr>
      </w:pPr>
      <w:r w:rsidRPr="00112A87">
        <w:rPr>
          <w:sz w:val="28"/>
          <w:szCs w:val="28"/>
        </w:rPr>
        <w:t>Размещение проектируемых объектов в пределах действующей промышленной территории позволяет использовать существующую инфраструктуру, сократить протяженность подъездных путей и дополнительных коммуникаций, минимизировать площадь нарушения земель и исключить воздействие на ранее неосвоенные природные территории.</w:t>
      </w:r>
    </w:p>
    <w:p w:rsidR="009B31F7" w:rsidRPr="00112A87" w:rsidRDefault="009B31F7" w:rsidP="009B31F7">
      <w:pPr>
        <w:widowControl/>
        <w:autoSpaceDE/>
        <w:autoSpaceDN/>
        <w:ind w:firstLine="567"/>
        <w:jc w:val="both"/>
        <w:rPr>
          <w:sz w:val="28"/>
          <w:szCs w:val="28"/>
          <w:lang w:eastAsia="ru-RU"/>
        </w:rPr>
      </w:pPr>
      <w:r w:rsidRPr="00112A87">
        <w:rPr>
          <w:sz w:val="28"/>
          <w:szCs w:val="28"/>
          <w:lang w:eastAsia="ru-RU"/>
        </w:rPr>
        <w:lastRenderedPageBreak/>
        <w:t>В представленных материалах ОПЗ и заключении об определении сферы охвата каталог географических координат поворотных точек проектируемых трубопроводов отсутствует. Инженерно-геодезические изыскания выполнены в местной системе координат, а точное положение трасс приводится в отдельных комплектах рабочих чертежей ГП и ТХ.</w:t>
      </w:r>
    </w:p>
    <w:p w:rsidR="009B31F7" w:rsidRPr="00112A87" w:rsidRDefault="009B31F7" w:rsidP="009B31F7">
      <w:pPr>
        <w:widowControl/>
        <w:autoSpaceDE/>
        <w:autoSpaceDN/>
        <w:ind w:firstLine="567"/>
        <w:jc w:val="both"/>
        <w:rPr>
          <w:sz w:val="28"/>
          <w:szCs w:val="28"/>
          <w:lang w:eastAsia="ru-RU"/>
        </w:rPr>
      </w:pPr>
      <w:r w:rsidRPr="00112A87">
        <w:rPr>
          <w:sz w:val="28"/>
          <w:szCs w:val="28"/>
          <w:lang w:eastAsia="ru-RU"/>
        </w:rPr>
        <w:t>Для обзорного обозначения территории рудника «Южный Инкай» может использоваться следующая справочная центральная точка:</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0"/>
        <w:gridCol w:w="2615"/>
      </w:tblGrid>
      <w:tr w:rsidR="009B31F7" w:rsidRPr="00112A87" w:rsidTr="00D23179">
        <w:trPr>
          <w:tblHeader/>
          <w:tblCellSpacing w:w="15" w:type="dxa"/>
          <w:jc w:val="center"/>
        </w:trPr>
        <w:tc>
          <w:tcPr>
            <w:tcW w:w="0" w:type="auto"/>
            <w:vAlign w:val="center"/>
            <w:hideMark/>
          </w:tcPr>
          <w:p w:rsidR="009B31F7" w:rsidRPr="00112A87" w:rsidRDefault="009B31F7" w:rsidP="00D23179">
            <w:pPr>
              <w:widowControl/>
              <w:autoSpaceDE/>
              <w:autoSpaceDN/>
              <w:jc w:val="center"/>
              <w:rPr>
                <w:b/>
                <w:bCs/>
                <w:sz w:val="28"/>
                <w:szCs w:val="28"/>
                <w:lang w:eastAsia="ru-RU"/>
              </w:rPr>
            </w:pPr>
            <w:r w:rsidRPr="00112A87">
              <w:rPr>
                <w:b/>
                <w:bCs/>
                <w:sz w:val="28"/>
                <w:szCs w:val="28"/>
                <w:lang w:eastAsia="ru-RU"/>
              </w:rPr>
              <w:t>Показатель</w:t>
            </w:r>
          </w:p>
        </w:tc>
        <w:tc>
          <w:tcPr>
            <w:tcW w:w="0" w:type="auto"/>
            <w:vAlign w:val="center"/>
            <w:hideMark/>
          </w:tcPr>
          <w:p w:rsidR="009B31F7" w:rsidRPr="00112A87" w:rsidRDefault="009B31F7" w:rsidP="00D23179">
            <w:pPr>
              <w:widowControl/>
              <w:autoSpaceDE/>
              <w:autoSpaceDN/>
              <w:jc w:val="center"/>
              <w:rPr>
                <w:b/>
                <w:bCs/>
                <w:sz w:val="28"/>
                <w:szCs w:val="28"/>
                <w:lang w:eastAsia="ru-RU"/>
              </w:rPr>
            </w:pPr>
            <w:r w:rsidRPr="00112A87">
              <w:rPr>
                <w:b/>
                <w:bCs/>
                <w:sz w:val="28"/>
                <w:szCs w:val="28"/>
                <w:lang w:eastAsia="ru-RU"/>
              </w:rPr>
              <w:t>Значение</w:t>
            </w:r>
          </w:p>
        </w:tc>
      </w:tr>
      <w:tr w:rsidR="009B31F7" w:rsidRPr="00112A87" w:rsidTr="00D23179">
        <w:trPr>
          <w:tblCellSpacing w:w="15" w:type="dxa"/>
          <w:jc w:val="center"/>
        </w:trPr>
        <w:tc>
          <w:tcPr>
            <w:tcW w:w="0" w:type="auto"/>
            <w:vAlign w:val="center"/>
            <w:hideMark/>
          </w:tcPr>
          <w:p w:rsidR="009B31F7" w:rsidRPr="00112A87" w:rsidRDefault="009B31F7" w:rsidP="00D23179">
            <w:pPr>
              <w:widowControl/>
              <w:autoSpaceDE/>
              <w:autoSpaceDN/>
              <w:rPr>
                <w:sz w:val="28"/>
                <w:szCs w:val="28"/>
                <w:lang w:eastAsia="ru-RU"/>
              </w:rPr>
            </w:pPr>
            <w:r w:rsidRPr="00112A87">
              <w:rPr>
                <w:sz w:val="28"/>
                <w:szCs w:val="28"/>
                <w:lang w:eastAsia="ru-RU"/>
              </w:rPr>
              <w:t>Северная широта</w:t>
            </w:r>
          </w:p>
        </w:tc>
        <w:tc>
          <w:tcPr>
            <w:tcW w:w="0" w:type="auto"/>
            <w:vAlign w:val="center"/>
            <w:hideMark/>
          </w:tcPr>
          <w:p w:rsidR="009B31F7" w:rsidRPr="00112A87" w:rsidRDefault="009B31F7" w:rsidP="00D23179">
            <w:pPr>
              <w:widowControl/>
              <w:autoSpaceDE/>
              <w:autoSpaceDN/>
              <w:rPr>
                <w:sz w:val="28"/>
                <w:szCs w:val="28"/>
                <w:lang w:eastAsia="ru-RU"/>
              </w:rPr>
            </w:pPr>
            <w:r w:rsidRPr="00112A87">
              <w:rPr>
                <w:sz w:val="28"/>
                <w:szCs w:val="28"/>
                <w:lang w:eastAsia="ru-RU"/>
              </w:rPr>
              <w:t>45°10′01,68″</w:t>
            </w:r>
          </w:p>
        </w:tc>
      </w:tr>
      <w:tr w:rsidR="009B31F7" w:rsidRPr="00112A87" w:rsidTr="00D23179">
        <w:trPr>
          <w:tblCellSpacing w:w="15" w:type="dxa"/>
          <w:jc w:val="center"/>
        </w:trPr>
        <w:tc>
          <w:tcPr>
            <w:tcW w:w="0" w:type="auto"/>
            <w:vAlign w:val="center"/>
            <w:hideMark/>
          </w:tcPr>
          <w:p w:rsidR="009B31F7" w:rsidRPr="00112A87" w:rsidRDefault="009B31F7" w:rsidP="00D23179">
            <w:pPr>
              <w:widowControl/>
              <w:autoSpaceDE/>
              <w:autoSpaceDN/>
              <w:rPr>
                <w:sz w:val="28"/>
                <w:szCs w:val="28"/>
                <w:lang w:eastAsia="ru-RU"/>
              </w:rPr>
            </w:pPr>
            <w:r w:rsidRPr="00112A87">
              <w:rPr>
                <w:sz w:val="28"/>
                <w:szCs w:val="28"/>
                <w:lang w:eastAsia="ru-RU"/>
              </w:rPr>
              <w:t>Восточная долгота</w:t>
            </w:r>
          </w:p>
        </w:tc>
        <w:tc>
          <w:tcPr>
            <w:tcW w:w="0" w:type="auto"/>
            <w:vAlign w:val="center"/>
            <w:hideMark/>
          </w:tcPr>
          <w:p w:rsidR="009B31F7" w:rsidRPr="00112A87" w:rsidRDefault="009B31F7" w:rsidP="00D23179">
            <w:pPr>
              <w:widowControl/>
              <w:autoSpaceDE/>
              <w:autoSpaceDN/>
              <w:rPr>
                <w:sz w:val="28"/>
                <w:szCs w:val="28"/>
                <w:lang w:eastAsia="ru-RU"/>
              </w:rPr>
            </w:pPr>
            <w:r w:rsidRPr="00112A87">
              <w:rPr>
                <w:sz w:val="28"/>
                <w:szCs w:val="28"/>
                <w:lang w:eastAsia="ru-RU"/>
              </w:rPr>
              <w:t>67°29′39,90″</w:t>
            </w:r>
          </w:p>
        </w:tc>
      </w:tr>
      <w:tr w:rsidR="009B31F7" w:rsidRPr="00112A87" w:rsidTr="00D23179">
        <w:trPr>
          <w:tblCellSpacing w:w="15" w:type="dxa"/>
          <w:jc w:val="center"/>
        </w:trPr>
        <w:tc>
          <w:tcPr>
            <w:tcW w:w="0" w:type="auto"/>
            <w:vAlign w:val="center"/>
            <w:hideMark/>
          </w:tcPr>
          <w:p w:rsidR="009B31F7" w:rsidRPr="00112A87" w:rsidRDefault="009B31F7" w:rsidP="00D23179">
            <w:pPr>
              <w:widowControl/>
              <w:autoSpaceDE/>
              <w:autoSpaceDN/>
              <w:rPr>
                <w:sz w:val="28"/>
                <w:szCs w:val="28"/>
                <w:lang w:eastAsia="ru-RU"/>
              </w:rPr>
            </w:pPr>
            <w:r w:rsidRPr="00112A87">
              <w:rPr>
                <w:sz w:val="28"/>
                <w:szCs w:val="28"/>
                <w:lang w:eastAsia="ru-RU"/>
              </w:rPr>
              <w:t>Десятичный формат</w:t>
            </w:r>
          </w:p>
        </w:tc>
        <w:tc>
          <w:tcPr>
            <w:tcW w:w="0" w:type="auto"/>
            <w:vAlign w:val="center"/>
            <w:hideMark/>
          </w:tcPr>
          <w:p w:rsidR="009B31F7" w:rsidRPr="00112A87" w:rsidRDefault="009B31F7" w:rsidP="00D23179">
            <w:pPr>
              <w:widowControl/>
              <w:autoSpaceDE/>
              <w:autoSpaceDN/>
              <w:rPr>
                <w:sz w:val="28"/>
                <w:szCs w:val="28"/>
                <w:lang w:eastAsia="ru-RU"/>
              </w:rPr>
            </w:pPr>
            <w:r w:rsidRPr="00112A87">
              <w:rPr>
                <w:sz w:val="28"/>
                <w:szCs w:val="28"/>
                <w:lang w:eastAsia="ru-RU"/>
              </w:rPr>
              <w:t>45.167133, 67.494417</w:t>
            </w:r>
          </w:p>
        </w:tc>
      </w:tr>
      <w:tr w:rsidR="009B31F7" w:rsidRPr="00112A87" w:rsidTr="00D23179">
        <w:trPr>
          <w:tblCellSpacing w:w="15" w:type="dxa"/>
          <w:jc w:val="center"/>
        </w:trPr>
        <w:tc>
          <w:tcPr>
            <w:tcW w:w="0" w:type="auto"/>
            <w:vAlign w:val="center"/>
            <w:hideMark/>
          </w:tcPr>
          <w:p w:rsidR="009B31F7" w:rsidRPr="00112A87" w:rsidRDefault="009B31F7" w:rsidP="00D23179">
            <w:pPr>
              <w:widowControl/>
              <w:autoSpaceDE/>
              <w:autoSpaceDN/>
              <w:rPr>
                <w:sz w:val="28"/>
                <w:szCs w:val="28"/>
                <w:lang w:eastAsia="ru-RU"/>
              </w:rPr>
            </w:pPr>
            <w:r w:rsidRPr="00112A87">
              <w:rPr>
                <w:sz w:val="28"/>
                <w:szCs w:val="28"/>
                <w:lang w:eastAsia="ru-RU"/>
              </w:rPr>
              <w:t>Система координат</w:t>
            </w:r>
          </w:p>
        </w:tc>
        <w:tc>
          <w:tcPr>
            <w:tcW w:w="0" w:type="auto"/>
            <w:vAlign w:val="center"/>
            <w:hideMark/>
          </w:tcPr>
          <w:p w:rsidR="009B31F7" w:rsidRPr="00112A87" w:rsidRDefault="009B31F7" w:rsidP="00D23179">
            <w:pPr>
              <w:widowControl/>
              <w:autoSpaceDE/>
              <w:autoSpaceDN/>
              <w:rPr>
                <w:sz w:val="28"/>
                <w:szCs w:val="28"/>
                <w:lang w:eastAsia="ru-RU"/>
              </w:rPr>
            </w:pPr>
            <w:r w:rsidRPr="00112A87">
              <w:rPr>
                <w:sz w:val="28"/>
                <w:szCs w:val="28"/>
                <w:lang w:eastAsia="ru-RU"/>
              </w:rPr>
              <w:t>WGS 84</w:t>
            </w:r>
          </w:p>
        </w:tc>
      </w:tr>
    </w:tbl>
    <w:p w:rsidR="009B31F7" w:rsidRDefault="009B31F7" w:rsidP="009B31F7">
      <w:pPr>
        <w:widowControl/>
        <w:autoSpaceDE/>
        <w:autoSpaceDN/>
        <w:ind w:firstLine="567"/>
        <w:jc w:val="both"/>
        <w:rPr>
          <w:sz w:val="28"/>
          <w:szCs w:val="28"/>
          <w:lang w:eastAsia="ru-RU"/>
        </w:rPr>
      </w:pPr>
    </w:p>
    <w:p w:rsidR="009B31F7" w:rsidRDefault="009B31F7" w:rsidP="009B31F7">
      <w:pPr>
        <w:widowControl/>
        <w:autoSpaceDE/>
        <w:autoSpaceDN/>
        <w:ind w:firstLine="567"/>
        <w:jc w:val="both"/>
        <w:rPr>
          <w:sz w:val="28"/>
          <w:szCs w:val="28"/>
          <w:lang w:eastAsia="ru-RU"/>
        </w:rPr>
      </w:pPr>
      <w:r w:rsidRPr="00112A87">
        <w:rPr>
          <w:sz w:val="28"/>
          <w:szCs w:val="28"/>
          <w:lang w:eastAsia="ru-RU"/>
        </w:rPr>
        <w:t xml:space="preserve">Эта точка используется в опубликованных экологических материалах по объектам рудника «Южный Инкай» и характеризует общее местоположение производственной территории. Она не заменяет координаты поворотных точек проектируемых трасс. Для окончательной версии Отчета координаты необходимо перенести из чертежей ГП/ТХ после преобразования местной системы координат в WGS 84. </w:t>
      </w:r>
    </w:p>
    <w:p w:rsidR="009B31F7" w:rsidRPr="00112A87" w:rsidRDefault="009B31F7" w:rsidP="009B31F7">
      <w:pPr>
        <w:widowControl/>
        <w:autoSpaceDE/>
        <w:autoSpaceDN/>
        <w:ind w:firstLine="567"/>
        <w:jc w:val="center"/>
        <w:rPr>
          <w:sz w:val="28"/>
          <w:szCs w:val="28"/>
          <w:lang w:eastAsia="ru-RU"/>
        </w:rPr>
      </w:pPr>
      <w:r>
        <w:rPr>
          <w:noProof/>
          <w:lang w:eastAsia="ru-RU"/>
        </w:rPr>
        <w:drawing>
          <wp:inline distT="0" distB="0" distL="0" distR="0" wp14:anchorId="43574C9D" wp14:editId="0722EFEA">
            <wp:extent cx="4038600" cy="41624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38600" cy="4162425"/>
                    </a:xfrm>
                    <a:prstGeom prst="rect">
                      <a:avLst/>
                    </a:prstGeom>
                  </pic:spPr>
                </pic:pic>
              </a:graphicData>
            </a:graphic>
          </wp:inline>
        </w:drawing>
      </w:r>
    </w:p>
    <w:p w:rsidR="009B31F7" w:rsidRDefault="009B31F7" w:rsidP="009B31F7">
      <w:pPr>
        <w:pStyle w:val="TableParagraph"/>
        <w:keepNext/>
        <w:spacing w:after="19"/>
        <w:ind w:right="-2"/>
        <w:jc w:val="center"/>
      </w:pPr>
    </w:p>
    <w:p w:rsidR="009B31F7" w:rsidRDefault="009B31F7" w:rsidP="009B31F7">
      <w:pPr>
        <w:pStyle w:val="a5"/>
        <w:spacing w:line="240" w:lineRule="auto"/>
        <w:rPr>
          <w:b/>
        </w:rPr>
      </w:pPr>
      <w:bookmarkStart w:id="0" w:name="_Toc178440867"/>
      <w:r w:rsidRPr="002D4C24">
        <w:rPr>
          <w:b/>
        </w:rPr>
        <w:t xml:space="preserve">Рисунок </w:t>
      </w:r>
      <w:r>
        <w:rPr>
          <w:b/>
        </w:rPr>
        <w:fldChar w:fldCharType="begin"/>
      </w:r>
      <w:r>
        <w:rPr>
          <w:b/>
        </w:rPr>
        <w:instrText xml:space="preserve"> STYLEREF 1 \s </w:instrText>
      </w:r>
      <w:r>
        <w:rPr>
          <w:b/>
        </w:rPr>
        <w:fldChar w:fldCharType="separate"/>
      </w:r>
      <w:r>
        <w:rPr>
          <w:b/>
          <w:noProof/>
        </w:rPr>
        <w:t>13</w:t>
      </w:r>
      <w:r>
        <w:rPr>
          <w:b/>
        </w:rPr>
        <w:fldChar w:fldCharType="end"/>
      </w:r>
      <w:r>
        <w:rPr>
          <w:b/>
        </w:rPr>
        <w:noBreakHyphen/>
      </w:r>
      <w:r>
        <w:rPr>
          <w:b/>
        </w:rPr>
        <w:fldChar w:fldCharType="begin"/>
      </w:r>
      <w:r>
        <w:rPr>
          <w:b/>
        </w:rPr>
        <w:instrText xml:space="preserve"> SEQ Рисунок \* ARABIC \s 1 </w:instrText>
      </w:r>
      <w:r>
        <w:rPr>
          <w:b/>
        </w:rPr>
        <w:fldChar w:fldCharType="separate"/>
      </w:r>
      <w:r>
        <w:rPr>
          <w:b/>
          <w:noProof/>
        </w:rPr>
        <w:t>1</w:t>
      </w:r>
      <w:r>
        <w:rPr>
          <w:b/>
        </w:rPr>
        <w:fldChar w:fldCharType="end"/>
      </w:r>
      <w:r w:rsidRPr="002D4C24">
        <w:rPr>
          <w:b/>
        </w:rPr>
        <w:t xml:space="preserve"> </w:t>
      </w:r>
      <w:bookmarkEnd w:id="0"/>
      <w:r>
        <w:rPr>
          <w:b/>
        </w:rPr>
        <w:t>Карта-схема</w:t>
      </w:r>
    </w:p>
    <w:p w:rsidR="009B31F7" w:rsidRPr="00B606D3" w:rsidRDefault="009B31F7" w:rsidP="009B31F7">
      <w:pPr>
        <w:pStyle w:val="a3"/>
        <w:ind w:right="138" w:firstLine="709"/>
        <w:rPr>
          <w:sz w:val="28"/>
          <w:szCs w:val="28"/>
        </w:rPr>
      </w:pP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lastRenderedPageBreak/>
        <w:t>Намечаемая деятельность осуществляется в Сузакском районе Туркестанской области в пределах существующей производственной территории действующего рудника «Южный Инкай» месторождения «Инкай». Проектируемые технологические трубопроводы продуктивных и выщелачивающих растворов и трубопроводы концентрированной серной кислоты размещаются на землях промышленного назначения, находящихся в законном землепользовании ТОО «СП «ЮГХК».</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Предоставление новых земельных участков, изъятие земель сельскохозяйственного назначения, изменение целевого назначения земель и расширение существующего земельного отвода проектом не предусматриваются. Намечаемая деятельность не требует освоения новой самостоятельной промышленной площадки.</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В границах Сузакского района проектом предусматривается строительство следующих линейных объектов:</w:t>
      </w:r>
    </w:p>
    <w:p w:rsidR="009B31F7" w:rsidRPr="005A1FF4" w:rsidRDefault="009B31F7" w:rsidP="009B31F7">
      <w:pPr>
        <w:widowControl/>
        <w:numPr>
          <w:ilvl w:val="0"/>
          <w:numId w:val="1"/>
        </w:numPr>
        <w:autoSpaceDE/>
        <w:autoSpaceDN/>
        <w:ind w:firstLine="567"/>
        <w:jc w:val="both"/>
        <w:rPr>
          <w:sz w:val="28"/>
          <w:szCs w:val="28"/>
          <w:lang w:eastAsia="ru-RU"/>
        </w:rPr>
      </w:pPr>
      <w:r w:rsidRPr="005A1FF4">
        <w:rPr>
          <w:sz w:val="28"/>
          <w:szCs w:val="28"/>
          <w:lang w:eastAsia="ru-RU"/>
        </w:rPr>
        <w:t xml:space="preserve">трубопроводов продуктивных и выщелачивающих растворов диаметром 500 мм протяженностью около 11,4 км; </w:t>
      </w:r>
    </w:p>
    <w:p w:rsidR="009B31F7" w:rsidRPr="005A1FF4" w:rsidRDefault="009B31F7" w:rsidP="009B31F7">
      <w:pPr>
        <w:widowControl/>
        <w:numPr>
          <w:ilvl w:val="0"/>
          <w:numId w:val="1"/>
        </w:numPr>
        <w:autoSpaceDE/>
        <w:autoSpaceDN/>
        <w:ind w:firstLine="567"/>
        <w:jc w:val="both"/>
        <w:rPr>
          <w:sz w:val="28"/>
          <w:szCs w:val="28"/>
          <w:lang w:eastAsia="ru-RU"/>
        </w:rPr>
      </w:pPr>
      <w:r w:rsidRPr="005A1FF4">
        <w:rPr>
          <w:sz w:val="28"/>
          <w:szCs w:val="28"/>
          <w:lang w:eastAsia="ru-RU"/>
        </w:rPr>
        <w:t xml:space="preserve">трубопроводов продуктивных и выщелачивающих растворов диаметром 315 мм протяженностью около 6,4 км; </w:t>
      </w:r>
    </w:p>
    <w:p w:rsidR="009B31F7" w:rsidRPr="005A1FF4" w:rsidRDefault="009B31F7" w:rsidP="009B31F7">
      <w:pPr>
        <w:widowControl/>
        <w:numPr>
          <w:ilvl w:val="0"/>
          <w:numId w:val="1"/>
        </w:numPr>
        <w:autoSpaceDE/>
        <w:autoSpaceDN/>
        <w:ind w:firstLine="567"/>
        <w:jc w:val="both"/>
        <w:rPr>
          <w:sz w:val="28"/>
          <w:szCs w:val="28"/>
          <w:lang w:eastAsia="ru-RU"/>
        </w:rPr>
      </w:pPr>
      <w:r w:rsidRPr="005A1FF4">
        <w:rPr>
          <w:sz w:val="28"/>
          <w:szCs w:val="28"/>
          <w:lang w:eastAsia="ru-RU"/>
        </w:rPr>
        <w:t xml:space="preserve">трубопроводов продуктивных и выщелачивающих растворов диаметром 225 мм протяженностью около 6,2 км; </w:t>
      </w:r>
    </w:p>
    <w:p w:rsidR="009B31F7" w:rsidRPr="005A1FF4" w:rsidRDefault="009B31F7" w:rsidP="009B31F7">
      <w:pPr>
        <w:widowControl/>
        <w:numPr>
          <w:ilvl w:val="0"/>
          <w:numId w:val="1"/>
        </w:numPr>
        <w:autoSpaceDE/>
        <w:autoSpaceDN/>
        <w:ind w:firstLine="567"/>
        <w:jc w:val="both"/>
        <w:rPr>
          <w:sz w:val="28"/>
          <w:szCs w:val="28"/>
          <w:lang w:eastAsia="ru-RU"/>
        </w:rPr>
      </w:pPr>
      <w:r w:rsidRPr="005A1FF4">
        <w:rPr>
          <w:sz w:val="28"/>
          <w:szCs w:val="28"/>
          <w:lang w:eastAsia="ru-RU"/>
        </w:rPr>
        <w:t xml:space="preserve">кислотопровода из стальных труб диаметром 89×6 мм протяженностью около 3,8 км; </w:t>
      </w:r>
    </w:p>
    <w:p w:rsidR="009B31F7" w:rsidRPr="005A1FF4" w:rsidRDefault="009B31F7" w:rsidP="009B31F7">
      <w:pPr>
        <w:widowControl/>
        <w:numPr>
          <w:ilvl w:val="0"/>
          <w:numId w:val="1"/>
        </w:numPr>
        <w:autoSpaceDE/>
        <w:autoSpaceDN/>
        <w:ind w:firstLine="567"/>
        <w:jc w:val="both"/>
        <w:rPr>
          <w:sz w:val="28"/>
          <w:szCs w:val="28"/>
          <w:lang w:eastAsia="ru-RU"/>
        </w:rPr>
      </w:pPr>
      <w:r w:rsidRPr="005A1FF4">
        <w:rPr>
          <w:sz w:val="28"/>
          <w:szCs w:val="28"/>
          <w:lang w:eastAsia="ru-RU"/>
        </w:rPr>
        <w:t xml:space="preserve">кислотопровода из стальных труб диаметром 57×6 мм протяженностью около 0,3 км. </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Трубопроводы продуктивных и выщелачивающих растворов предусматриваются наземной прокладки в единой обваловке из местного грунта. Кислотопроводы прокладываются надземно на опорных конструкциях. Принятые способы прокладки позволяют сократить объем земляных работ, площадь нарушения почвенного покрова и обеспечить доступ к трубопроводам для контроля, технического обслуживания и ремонта.</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Точный размер земель, непосредственно занятых проектируемыми объектами, определяется рабочими чертежами генерального плана, полосой размещения линейных сооружений, размерами обвалования и площадью опорных конструкций. Временное использование земель в период строительства ограничивается полосой производства работ, местами складирования труб и материалов, подъезда и работы строительной техники.</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Основными видами возможного воздействия на земельные ресурсы в период строительства являются:</w:t>
      </w:r>
    </w:p>
    <w:p w:rsidR="009B31F7" w:rsidRPr="005A1FF4" w:rsidRDefault="009B31F7" w:rsidP="009B31F7">
      <w:pPr>
        <w:widowControl/>
        <w:numPr>
          <w:ilvl w:val="0"/>
          <w:numId w:val="2"/>
        </w:numPr>
        <w:autoSpaceDE/>
        <w:autoSpaceDN/>
        <w:ind w:firstLine="567"/>
        <w:jc w:val="both"/>
        <w:rPr>
          <w:sz w:val="28"/>
          <w:szCs w:val="28"/>
          <w:lang w:eastAsia="ru-RU"/>
        </w:rPr>
      </w:pPr>
      <w:r w:rsidRPr="005A1FF4">
        <w:rPr>
          <w:sz w:val="28"/>
          <w:szCs w:val="28"/>
          <w:lang w:eastAsia="ru-RU"/>
        </w:rPr>
        <w:t xml:space="preserve">временное механическое нарушение поверхности земли; </w:t>
      </w:r>
    </w:p>
    <w:p w:rsidR="009B31F7" w:rsidRPr="005A1FF4" w:rsidRDefault="009B31F7" w:rsidP="009B31F7">
      <w:pPr>
        <w:widowControl/>
        <w:numPr>
          <w:ilvl w:val="0"/>
          <w:numId w:val="2"/>
        </w:numPr>
        <w:autoSpaceDE/>
        <w:autoSpaceDN/>
        <w:ind w:firstLine="567"/>
        <w:jc w:val="both"/>
        <w:rPr>
          <w:sz w:val="28"/>
          <w:szCs w:val="28"/>
          <w:lang w:eastAsia="ru-RU"/>
        </w:rPr>
      </w:pPr>
      <w:r w:rsidRPr="005A1FF4">
        <w:rPr>
          <w:sz w:val="28"/>
          <w:szCs w:val="28"/>
          <w:lang w:eastAsia="ru-RU"/>
        </w:rPr>
        <w:t xml:space="preserve">разработка и перемещение грунта; </w:t>
      </w:r>
    </w:p>
    <w:p w:rsidR="009B31F7" w:rsidRPr="005A1FF4" w:rsidRDefault="009B31F7" w:rsidP="009B31F7">
      <w:pPr>
        <w:widowControl/>
        <w:numPr>
          <w:ilvl w:val="0"/>
          <w:numId w:val="2"/>
        </w:numPr>
        <w:autoSpaceDE/>
        <w:autoSpaceDN/>
        <w:ind w:firstLine="567"/>
        <w:jc w:val="both"/>
        <w:rPr>
          <w:sz w:val="28"/>
          <w:szCs w:val="28"/>
          <w:lang w:eastAsia="ru-RU"/>
        </w:rPr>
      </w:pPr>
      <w:r w:rsidRPr="005A1FF4">
        <w:rPr>
          <w:sz w:val="28"/>
          <w:szCs w:val="28"/>
          <w:lang w:eastAsia="ru-RU"/>
        </w:rPr>
        <w:t xml:space="preserve">устройство обвалования и опорных конструкций; </w:t>
      </w:r>
    </w:p>
    <w:p w:rsidR="009B31F7" w:rsidRPr="005A1FF4" w:rsidRDefault="009B31F7" w:rsidP="009B31F7">
      <w:pPr>
        <w:widowControl/>
        <w:numPr>
          <w:ilvl w:val="0"/>
          <w:numId w:val="2"/>
        </w:numPr>
        <w:autoSpaceDE/>
        <w:autoSpaceDN/>
        <w:ind w:firstLine="567"/>
        <w:jc w:val="both"/>
        <w:rPr>
          <w:sz w:val="28"/>
          <w:szCs w:val="28"/>
          <w:lang w:eastAsia="ru-RU"/>
        </w:rPr>
      </w:pPr>
      <w:r w:rsidRPr="005A1FF4">
        <w:rPr>
          <w:sz w:val="28"/>
          <w:szCs w:val="28"/>
          <w:lang w:eastAsia="ru-RU"/>
        </w:rPr>
        <w:t xml:space="preserve">уплотнение грунта при движении строительной техники; </w:t>
      </w:r>
    </w:p>
    <w:p w:rsidR="009B31F7" w:rsidRPr="005A1FF4" w:rsidRDefault="009B31F7" w:rsidP="009B31F7">
      <w:pPr>
        <w:widowControl/>
        <w:numPr>
          <w:ilvl w:val="0"/>
          <w:numId w:val="2"/>
        </w:numPr>
        <w:autoSpaceDE/>
        <w:autoSpaceDN/>
        <w:ind w:firstLine="567"/>
        <w:jc w:val="both"/>
        <w:rPr>
          <w:sz w:val="28"/>
          <w:szCs w:val="28"/>
          <w:lang w:eastAsia="ru-RU"/>
        </w:rPr>
      </w:pPr>
      <w:r w:rsidRPr="005A1FF4">
        <w:rPr>
          <w:sz w:val="28"/>
          <w:szCs w:val="28"/>
          <w:lang w:eastAsia="ru-RU"/>
        </w:rPr>
        <w:t xml:space="preserve">временное складирование труб, конструкций и строительных материалов; </w:t>
      </w:r>
    </w:p>
    <w:p w:rsidR="009B31F7" w:rsidRPr="005A1FF4" w:rsidRDefault="009B31F7" w:rsidP="009B31F7">
      <w:pPr>
        <w:widowControl/>
        <w:numPr>
          <w:ilvl w:val="0"/>
          <w:numId w:val="2"/>
        </w:numPr>
        <w:autoSpaceDE/>
        <w:autoSpaceDN/>
        <w:ind w:firstLine="567"/>
        <w:jc w:val="both"/>
        <w:rPr>
          <w:sz w:val="28"/>
          <w:szCs w:val="28"/>
          <w:lang w:eastAsia="ru-RU"/>
        </w:rPr>
      </w:pPr>
      <w:r w:rsidRPr="005A1FF4">
        <w:rPr>
          <w:sz w:val="28"/>
          <w:szCs w:val="28"/>
          <w:lang w:eastAsia="ru-RU"/>
        </w:rPr>
        <w:t xml:space="preserve">образование строительных отходов; </w:t>
      </w:r>
    </w:p>
    <w:p w:rsidR="009B31F7" w:rsidRPr="005A1FF4" w:rsidRDefault="009B31F7" w:rsidP="009B31F7">
      <w:pPr>
        <w:widowControl/>
        <w:numPr>
          <w:ilvl w:val="0"/>
          <w:numId w:val="2"/>
        </w:numPr>
        <w:autoSpaceDE/>
        <w:autoSpaceDN/>
        <w:ind w:firstLine="567"/>
        <w:jc w:val="both"/>
        <w:rPr>
          <w:sz w:val="28"/>
          <w:szCs w:val="28"/>
          <w:lang w:eastAsia="ru-RU"/>
        </w:rPr>
      </w:pPr>
      <w:r w:rsidRPr="005A1FF4">
        <w:rPr>
          <w:sz w:val="28"/>
          <w:szCs w:val="28"/>
          <w:lang w:eastAsia="ru-RU"/>
        </w:rPr>
        <w:lastRenderedPageBreak/>
        <w:t xml:space="preserve">возможное загрязнение грунта при аварийных проливах топлива, масел и технических жидкостей. </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 xml:space="preserve">В соответствии со статьей 238 </w:t>
      </w:r>
      <w:hyperlink r:id="rId6" w:tgtFrame="_new" w:history="1">
        <w:r w:rsidRPr="005A1FF4">
          <w:rPr>
            <w:color w:val="0000FF"/>
            <w:sz w:val="28"/>
            <w:szCs w:val="28"/>
            <w:u w:val="single"/>
            <w:lang w:eastAsia="ru-RU"/>
          </w:rPr>
          <w:t>Экологического кодекса Республики Казахстан</w:t>
        </w:r>
      </w:hyperlink>
      <w:r w:rsidRPr="005A1FF4">
        <w:rPr>
          <w:sz w:val="28"/>
          <w:szCs w:val="28"/>
          <w:lang w:eastAsia="ru-RU"/>
        </w:rPr>
        <w:t xml:space="preserve"> при использовании земель не допускаются их загрязнение, захламление, деградация и иные формы ухудшения экологического состояния. Работы, связанные с нарушением земель, должны сопровождаться мероприятиями по сохранению и последующему восстановлению почвенного покрова.</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Для предупреждения и снижения воздействия на земельные ресурсы предусматриваются:</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проведение работ строго в границах отведенной территории и установленной полосы строительства;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использование существующих внутриплощадочных автомобильных дорог;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запрещение движения техники за пределами установленных маршрутов;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размещение техники и материалов только на предусмотренных проектом площадках;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использование исправной строительной техники;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исключение заправки и технического обслуживания техники непосредственно на незащищенном грунте;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применение поддонов и сорбирующих материалов в местах возможных утечек нефтепродуктов;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раздельный сбор отходов в маркированные герметичные емкости;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своевременный вывоз строительных и коммунальных отходов;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запрещение складирования отходов, грунта и строительных материалов вне установленных мест;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оперативный сбор проливов и удаление загрязненного грунта;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планировка и очистка территории после завершения работ; </w:t>
      </w:r>
    </w:p>
    <w:p w:rsidR="009B31F7" w:rsidRPr="005A1FF4" w:rsidRDefault="009B31F7" w:rsidP="009B31F7">
      <w:pPr>
        <w:widowControl/>
        <w:numPr>
          <w:ilvl w:val="0"/>
          <w:numId w:val="3"/>
        </w:numPr>
        <w:autoSpaceDE/>
        <w:autoSpaceDN/>
        <w:ind w:firstLine="567"/>
        <w:jc w:val="both"/>
        <w:rPr>
          <w:sz w:val="28"/>
          <w:szCs w:val="28"/>
          <w:lang w:eastAsia="ru-RU"/>
        </w:rPr>
      </w:pPr>
      <w:r w:rsidRPr="005A1FF4">
        <w:rPr>
          <w:sz w:val="28"/>
          <w:szCs w:val="28"/>
          <w:lang w:eastAsia="ru-RU"/>
        </w:rPr>
        <w:t xml:space="preserve">восстановление временно нарушенных участков. </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Снятие плодородного слоя почвы производится при его наличии и необходимости, определяемой проектными решениями и фактическим состоянием земель. Снятый грунт подлежит раздельному складированию и последующему использованию при восстановлении нарушенных участков. Смешивание потенциально плодородного грунта с загрязненным грунтом, строительными отходами и другими материалами не допускается.</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При аварийном загрязнении земель нефтепродуктами, продуктивными или выщелачивающими растворами либо концентрированной серной кислотой предусматриваются немедленное прекращение поступления загрязняющего вещества, локализация места пролива, сбор жидкой фазы, нейтрализация при необходимости, удаление загрязненного грунта и его передача специализированной организации. После ликвидации аварии выполняется оценка состояния земель и восстановление нарушенного участка.</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 xml:space="preserve">В период штатной эксплуатации непосредственное механическое воздействие на земельные ресурсы будет минимальным. Трубопроводы </w:t>
      </w:r>
      <w:r w:rsidRPr="005A1FF4">
        <w:rPr>
          <w:sz w:val="28"/>
          <w:szCs w:val="28"/>
          <w:lang w:eastAsia="ru-RU"/>
        </w:rPr>
        <w:lastRenderedPageBreak/>
        <w:t>представляют собой закрытые герметичные системы. Постоянное поступление загрязняющих веществ на поверхность земли не предусматривается. Потенциальное воздействие возможно только при аварийной разгерметизации трубопроводов.</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Снижение риска аварийного загрязнения земель обеспечивается применением устойчивых к транспортируемым средам материалов, герметичных сварных и фланцевых соединений, запорной арматуры, защитных кожухов, проведением гидравлических испытаний, наземным размещением трубопроводов для визуального контроля и устройством единой обваловки для локализации возможного пролива.</w:t>
      </w:r>
    </w:p>
    <w:p w:rsidR="009B31F7" w:rsidRPr="005A1FF4" w:rsidRDefault="009B31F7" w:rsidP="009B31F7">
      <w:pPr>
        <w:widowControl/>
        <w:autoSpaceDE/>
        <w:autoSpaceDN/>
        <w:ind w:firstLine="567"/>
        <w:jc w:val="both"/>
        <w:rPr>
          <w:sz w:val="28"/>
          <w:szCs w:val="28"/>
          <w:lang w:eastAsia="ru-RU"/>
        </w:rPr>
      </w:pPr>
      <w:r w:rsidRPr="005A1FF4">
        <w:rPr>
          <w:sz w:val="28"/>
          <w:szCs w:val="28"/>
          <w:lang w:eastAsia="ru-RU"/>
        </w:rPr>
        <w:t>Таким образом, земельные ресурсы, необходимые для реализации намечаемой деятельности, находятся в пределах существующего земельного отвода действующего рудника. Дополнительное изъятие земель и освоение ранее ненарушенных территорий не предусматриваются. При соблюдении проектных решений и выполнении восстановительных мероприятий воздействие на земельные ресурсы будет локальным, временным и обратимым.</w:t>
      </w:r>
    </w:p>
    <w:p w:rsidR="009B31F7" w:rsidRDefault="009B31F7" w:rsidP="009B31F7">
      <w:pPr>
        <w:ind w:firstLine="709"/>
        <w:jc w:val="both"/>
        <w:rPr>
          <w:sz w:val="28"/>
          <w:szCs w:val="28"/>
        </w:rPr>
      </w:pPr>
      <w:bookmarkStart w:id="1" w:name="_GoBack"/>
      <w:bookmarkEnd w:id="1"/>
    </w:p>
    <w:p w:rsidR="009B31F7" w:rsidRPr="00B606D3" w:rsidRDefault="009B31F7" w:rsidP="009B31F7">
      <w:pPr>
        <w:ind w:firstLine="709"/>
        <w:jc w:val="both"/>
        <w:rPr>
          <w:sz w:val="28"/>
          <w:szCs w:val="28"/>
        </w:rPr>
      </w:pPr>
    </w:p>
    <w:p w:rsidR="008505F7" w:rsidRDefault="008505F7"/>
    <w:sectPr w:rsidR="008505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D406C"/>
    <w:multiLevelType w:val="multilevel"/>
    <w:tmpl w:val="3B38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7735E1"/>
    <w:multiLevelType w:val="multilevel"/>
    <w:tmpl w:val="588C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923FAD"/>
    <w:multiLevelType w:val="multilevel"/>
    <w:tmpl w:val="0404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B7A"/>
    <w:rsid w:val="008505F7"/>
    <w:rsid w:val="009B31F7"/>
    <w:rsid w:val="00F44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8153"/>
  <w15:chartTrackingRefBased/>
  <w15:docId w15:val="{4071C541-6E2C-4FC0-9598-61A01855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B31F7"/>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1,Основной текст Знак Знак Знак Знак Знак Знак Знак Знак Знак Знак Знак Знак1,Основной текст Знак Знак Знак Знак1,Основной текст Знак Знак Знак Знак Знак Знак Знак Знак Знак 1 Знак,Основной текст11 Знак Знак"/>
    <w:basedOn w:val="a"/>
    <w:link w:val="1"/>
    <w:uiPriority w:val="1"/>
    <w:qFormat/>
    <w:rsid w:val="009B31F7"/>
    <w:pPr>
      <w:ind w:left="142"/>
      <w:jc w:val="both"/>
    </w:pPr>
    <w:rPr>
      <w:sz w:val="26"/>
      <w:szCs w:val="26"/>
    </w:rPr>
  </w:style>
  <w:style w:type="character" w:customStyle="1" w:styleId="a4">
    <w:name w:val="Основной текст Знак"/>
    <w:basedOn w:val="a0"/>
    <w:uiPriority w:val="99"/>
    <w:semiHidden/>
    <w:rsid w:val="009B31F7"/>
    <w:rPr>
      <w:rFonts w:ascii="Times New Roman" w:eastAsia="Times New Roman" w:hAnsi="Times New Roman" w:cs="Times New Roman"/>
    </w:rPr>
  </w:style>
  <w:style w:type="character" w:customStyle="1" w:styleId="1">
    <w:name w:val="Основной текст Знак1"/>
    <w:aliases w:val="Основной текст1 Знак,Основной текст Знак Знак Знак Знак Знак Знак Знак Знак Знак Знак Знак Знак1 Знак1,Основной текст Знак Знак Знак Знак1 Знак1,Основной текст Знак Знак Знак Знак Знак Знак Знак Знак Знак 1 Знак Знак1"/>
    <w:basedOn w:val="a0"/>
    <w:link w:val="a3"/>
    <w:uiPriority w:val="1"/>
    <w:rsid w:val="009B31F7"/>
    <w:rPr>
      <w:rFonts w:ascii="Times New Roman" w:eastAsia="Times New Roman" w:hAnsi="Times New Roman" w:cs="Times New Roman"/>
      <w:sz w:val="26"/>
      <w:szCs w:val="26"/>
    </w:rPr>
  </w:style>
  <w:style w:type="paragraph" w:customStyle="1" w:styleId="TableParagraph">
    <w:name w:val="Table Paragraph"/>
    <w:basedOn w:val="a"/>
    <w:uiPriority w:val="1"/>
    <w:qFormat/>
    <w:rsid w:val="009B31F7"/>
  </w:style>
  <w:style w:type="paragraph" w:styleId="a5">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a3"/>
    <w:next w:val="a3"/>
    <w:link w:val="2"/>
    <w:uiPriority w:val="35"/>
    <w:qFormat/>
    <w:rsid w:val="009B31F7"/>
    <w:pPr>
      <w:widowControl/>
      <w:tabs>
        <w:tab w:val="left" w:pos="360"/>
        <w:tab w:val="right" w:pos="9356"/>
      </w:tabs>
      <w:autoSpaceDE/>
      <w:autoSpaceDN/>
      <w:spacing w:after="500" w:line="500" w:lineRule="atLeast"/>
      <w:ind w:left="0"/>
      <w:jc w:val="center"/>
    </w:pPr>
    <w:rPr>
      <w:sz w:val="22"/>
      <w:szCs w:val="20"/>
      <w:lang w:eastAsia="ru-RU"/>
    </w:rPr>
  </w:style>
  <w:style w:type="character" w:customStyle="1" w:styleId="2">
    <w:name w:val="Название объекта Знак2"/>
    <w:aliases w:val="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объекта Знак Знак Знак1 Знак1 Знак Знак"/>
    <w:link w:val="a5"/>
    <w:uiPriority w:val="35"/>
    <w:rsid w:val="009B31F7"/>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K2100000400?utm_source=chatgpt.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2270</Words>
  <Characters>12945</Characters>
  <Application>Microsoft Office Word</Application>
  <DocSecurity>0</DocSecurity>
  <Lines>107</Lines>
  <Paragraphs>30</Paragraphs>
  <ScaleCrop>false</ScaleCrop>
  <Company>SPecialiST RePack</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2026-08-16T08:37:00Z</dcterms:created>
  <dcterms:modified xsi:type="dcterms:W3CDTF">2026-08-16T08:39:00Z</dcterms:modified>
</cp:coreProperties>
</file>