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45D" w:rsidRPr="00AF445D" w:rsidRDefault="00AF445D" w:rsidP="00AF445D">
      <w:pPr>
        <w:widowControl w:val="0"/>
        <w:tabs>
          <w:tab w:val="left" w:pos="1210"/>
        </w:tabs>
        <w:autoSpaceDE w:val="0"/>
        <w:autoSpaceDN w:val="0"/>
        <w:spacing w:after="0" w:line="240" w:lineRule="auto"/>
        <w:ind w:left="281"/>
        <w:jc w:val="center"/>
        <w:outlineLvl w:val="2"/>
        <w:rPr>
          <w:rFonts w:ascii="Times New Roman" w:eastAsia="Times New Roman" w:hAnsi="Times New Roman" w:cs="Times New Roman"/>
          <w:b/>
          <w:bCs/>
        </w:rPr>
      </w:pPr>
      <w:r w:rsidRPr="00AF445D">
        <w:rPr>
          <w:rFonts w:ascii="Times New Roman" w:eastAsia="Times New Roman" w:hAnsi="Times New Roman" w:cs="Times New Roman"/>
          <w:b/>
          <w:bCs/>
        </w:rPr>
        <w:t>КРАТКОЕ НЕТЕХНИЧЕСКОЕ РЕЗЮМЕ</w:t>
      </w:r>
    </w:p>
    <w:p w:rsidR="00AF445D" w:rsidRPr="00AF445D" w:rsidRDefault="00AF445D" w:rsidP="00AF445D">
      <w:pPr>
        <w:widowControl w:val="0"/>
        <w:tabs>
          <w:tab w:val="left" w:pos="1210"/>
        </w:tabs>
        <w:autoSpaceDE w:val="0"/>
        <w:autoSpaceDN w:val="0"/>
        <w:spacing w:after="0" w:line="240" w:lineRule="auto"/>
        <w:ind w:left="281"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Результаты Проекта «Отчет о возможных воздействиях», выполненые для решений  «Дополнение к проекту разработки месторождения Кемерколь (по состоянию на 01.05.2026 г.)» показывают что: выполненные расчеты рассеивания по веществам источников выбросов, зона загрязнения не выходит за область воздействия. Воздействие на воздушный бассейн квалифицируется как незначительное (существующее и проектируемое положение), степень опасности для здоровья населения – допустимая.</w:t>
      </w:r>
    </w:p>
    <w:p w:rsidR="00AF445D" w:rsidRPr="00AF445D" w:rsidRDefault="00AF445D" w:rsidP="00AF445D">
      <w:pPr>
        <w:widowControl w:val="0"/>
        <w:tabs>
          <w:tab w:val="left" w:pos="1210"/>
        </w:tabs>
        <w:autoSpaceDE w:val="0"/>
        <w:autoSpaceDN w:val="0"/>
        <w:spacing w:after="0" w:line="240" w:lineRule="auto"/>
        <w:ind w:left="281"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Объект исследования – система разработки месторождения Кемерколь.</w:t>
      </w:r>
    </w:p>
    <w:p w:rsidR="00AF445D" w:rsidRPr="00AF445D" w:rsidRDefault="00AF445D" w:rsidP="00AF445D">
      <w:pPr>
        <w:widowControl w:val="0"/>
        <w:tabs>
          <w:tab w:val="left" w:pos="1210"/>
        </w:tabs>
        <w:autoSpaceDE w:val="0"/>
        <w:autoSpaceDN w:val="0"/>
        <w:spacing w:after="0" w:line="240" w:lineRule="auto"/>
        <w:ind w:left="281"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Цель работы – обоснование рациональной системы разработки месторождения Кемерколь.</w:t>
      </w:r>
    </w:p>
    <w:p w:rsidR="00AF445D" w:rsidRPr="00AF445D" w:rsidRDefault="00AF445D" w:rsidP="00AF445D">
      <w:pPr>
        <w:widowControl w:val="0"/>
        <w:tabs>
          <w:tab w:val="left" w:pos="1210"/>
        </w:tabs>
        <w:autoSpaceDE w:val="0"/>
        <w:autoSpaceDN w:val="0"/>
        <w:spacing w:after="0" w:line="240" w:lineRule="auto"/>
        <w:ind w:left="281"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В настоящее время ТОО «АП - Нафта Оперейтинг» ведет промышленную разработку среднетриасовых залежей согласно Контракта на добычу углеводородов на месторождении Кемерколь регистрационный №4709-УВС МЭ от 12.04.2019 г. с продолжительностью этапа добычи с 12.04.2019 по 12.04.2044 годы.</w:t>
      </w:r>
    </w:p>
    <w:p w:rsidR="00AF445D" w:rsidRPr="00AF445D" w:rsidRDefault="00AF445D" w:rsidP="00AF445D">
      <w:pPr>
        <w:widowControl w:val="0"/>
        <w:tabs>
          <w:tab w:val="left" w:pos="1210"/>
        </w:tabs>
        <w:autoSpaceDE w:val="0"/>
        <w:autoSpaceDN w:val="0"/>
        <w:spacing w:after="0" w:line="240" w:lineRule="auto"/>
        <w:ind w:right="425" w:firstLine="567"/>
        <w:jc w:val="center"/>
        <w:outlineLvl w:val="2"/>
        <w:rPr>
          <w:rFonts w:ascii="Times New Roman" w:eastAsia="Times New Roman" w:hAnsi="Times New Roman" w:cs="Times New Roman"/>
          <w:bCs/>
        </w:rPr>
      </w:pPr>
      <w:r w:rsidRPr="00AF445D">
        <w:rPr>
          <w:rFonts w:ascii="Times New Roman" w:eastAsia="Calibri" w:hAnsi="Times New Roman" w:cs="Times New Roman"/>
          <w:sz w:val="24"/>
          <w:szCs w:val="24"/>
        </w:rPr>
        <w:object w:dxaOrig="11747" w:dyaOrig="16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2.5pt;height:413.2pt" o:ole="">
            <v:imagedata r:id="rId6" o:title="" croptop="1235f"/>
          </v:shape>
          <o:OLEObject Type="Embed" ProgID="CorelDRAW.Graphic.13" ShapeID="_x0000_i1025" DrawAspect="Content" ObjectID="_1848469636" r:id="rId7"/>
        </w:object>
      </w:r>
    </w:p>
    <w:p w:rsidR="00AF445D" w:rsidRPr="00AF445D" w:rsidRDefault="00AF445D" w:rsidP="00AF445D">
      <w:pPr>
        <w:widowControl w:val="0"/>
        <w:tabs>
          <w:tab w:val="left" w:pos="1210"/>
        </w:tabs>
        <w:autoSpaceDE w:val="0"/>
        <w:autoSpaceDN w:val="0"/>
        <w:spacing w:after="0" w:line="240" w:lineRule="auto"/>
        <w:ind w:left="281"/>
        <w:jc w:val="center"/>
        <w:outlineLvl w:val="2"/>
        <w:rPr>
          <w:rFonts w:ascii="Times New Roman" w:eastAsia="Times New Roman" w:hAnsi="Times New Roman" w:cs="Times New Roman"/>
          <w:b/>
          <w:bCs/>
        </w:rPr>
      </w:pPr>
      <w:r w:rsidRPr="00AF445D">
        <w:rPr>
          <w:rFonts w:ascii="Times New Roman" w:eastAsia="Times New Roman" w:hAnsi="Times New Roman" w:cs="Times New Roman"/>
          <w:b/>
          <w:bCs/>
        </w:rPr>
        <w:t xml:space="preserve">Рисунок 1. Обзорная карта </w:t>
      </w:r>
    </w:p>
    <w:p w:rsidR="00AF445D" w:rsidRPr="00AF445D" w:rsidRDefault="00AF445D" w:rsidP="00AF445D">
      <w:pPr>
        <w:widowControl w:val="0"/>
        <w:tabs>
          <w:tab w:val="left" w:pos="1210"/>
        </w:tabs>
        <w:autoSpaceDE w:val="0"/>
        <w:autoSpaceDN w:val="0"/>
        <w:spacing w:after="0" w:line="240" w:lineRule="auto"/>
        <w:outlineLvl w:val="2"/>
        <w:rPr>
          <w:rFonts w:ascii="Times New Roman" w:eastAsia="Times New Roman" w:hAnsi="Times New Roman" w:cs="Times New Roman"/>
          <w:b/>
          <w:bCs/>
        </w:rPr>
      </w:pPr>
    </w:p>
    <w:p w:rsidR="00AF445D" w:rsidRPr="00AF445D" w:rsidRDefault="00AF445D" w:rsidP="00AF445D">
      <w:pPr>
        <w:widowControl w:val="0"/>
        <w:numPr>
          <w:ilvl w:val="0"/>
          <w:numId w:val="1"/>
        </w:numPr>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xml:space="preserve">Контрактная территория Кемерколь располагается в юго-восточной части Прикаспийской впадины в пределах солянокупольного поднятия Кемерколь. В административном отношении район работ расположен в Кзылкогинском районе Атырауской области Республики Казахстан.  Ближайшие населенные пункты железнодорожные станции Мукур и Жантерек расположены соответственно в 30 и 15 км от района работ, районный центр – село Миялы в 120 км. Вдоль железной дороги Макат-Кандагаш проходит система коммуникаций, кабель ВОЛС, ЛЭП 35 кВт и автодорога Актобе-Атырау. </w:t>
      </w:r>
      <w:r w:rsidRPr="00AF445D">
        <w:rPr>
          <w:rFonts w:ascii="Times New Roman" w:eastAsia="Times New Roman" w:hAnsi="Times New Roman" w:cs="Times New Roman"/>
          <w:bCs/>
        </w:rPr>
        <w:lastRenderedPageBreak/>
        <w:t>Основными путями сообщения в районе являются железная дорога Астрахань - Актобе, автомобильная дорога Атырау-Актобе, проходящие южнее, и грунтовые дороги. В орографическом отношении площадь работ расположена в междуречье Сагиз-Кайнар и представляет собой слабо расчлененную равнину, осложненную холмами, грядами, балками. Абсолютные отметки рельефа изменяются от +60 м до +150 м. Гидрографическая сеть развита слабо и представлена речкой Сагиз, которая разливается в весенний период. Климат района резко континентальный, засушливый, с жарким сухим летом (максимальная температура +45 °С), малоснежной холодной зимой (до -35°С -40°С). Количество осадков не превышает 280 мм в год, и они приходятся в основном на осенне-зимний сезон. В этот период из-за раскисающих солончаковых почв и снежных заносов полевые проселочные дороги становятся труднопроходимыми. Снеговой покров ложится в начале декабря и сохраняется до конца марта. Мощность снегового покрова достигает 20-30см, но сильными ветрами основная часть снега сносится в пониженные участки рельефа (балки, низины) и образует снежные заносы. Для района работ характерны постоянно дующие ветры, направление которых часто соответствует временам года: зимой и весной - восточное, а летом и осенью - западное и южное. Своеобразие климата и литолого-стратиграфических условий района отражается в специфике почвенного покрова территории. Почвы развиты, в основном, светло- каштановые в комплексе с солонцами и солончаками. Мощность почвенного слоя не превышает 1 м. Растительность бедная, исключительно травянистая. Покрытие почвы растительностью составляет 60-80%. На возвышенностях развиты полынно-ковыльные сообщества, на пониженных участках пестрые комплексы бело-полынных и черно-полынных сообществ.</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Для обоснования экономически эффективной и технологически рациональной величины нефтеизвлечения были рассмотрены различные варианты разработки месторождения.</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xml:space="preserve">Выбор и обоснование расчетных вариантов разработки в основном определялись, исходя из положений «Единых правил…», «Регламента составления проектов…», опыта реализации запроектированной на месторождении системы разработки, оценки эффективности применяемой на месторождении технологии, результатов промышленной разработки месторождения, а также геолого-физических условий, характеризующихся незначительной глубиной залегания, высокой вязкостью пластовой нефти, различной энергией законтурной зоны, тектонической изолированностью и высокой неоднородностью коллекторских свойств. Расчетные варианты технологических показателей базировались на фактическом состоянии разработки. Дальнейший подбор вариантов зависел от оптимизации реализуемого варианта. При составлении вариантов учтены в основном имеющиеся эксплуатационные скважины и их техническое состояние. </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Ниже представлено описание основных технологических показателей по рассмотренным вариантам разработки месторождения Кемерколь.</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Вариант 1 (Рекомендуемый). предусматривает продолжение ранее утвержденных проектных решений, принятых в рамках анализа разработки 2024 года, с сохранением действующих подходов к эксплуатации объектов, проведением мероприятий по оптимизации фонда, переводами скважин под систему поддержания пластового давления, а также бурением семи новых эксплуатационных скважин №№ R108, R112, R113, R111, R110, R109 и R114 с темпом по 2 скважины в год начиная с 2028 г. Фонд скважин составит 26 ед. в т.ч. 24 добывающих и 2 нагнетательных. Период стабильной добычи нефти составит 4 года (2028–2031 гг.), максимальная годовая добыча нефти ожидается в 2030 году на уровне 22,6 тыс. т.</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Основные технологические показатели, следующие:</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рентабельный период разработки – 47 лет (2026-2072 гг.);</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максимальная добыча нефти достигается в 2030 г. и составит 22.6 тыс.т;</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обводненность на конец рентабельного периода – 97.3 %;</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ввод скважин из бурения, 7 добывающих;</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темп бурения – 2 скв./год;</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 суммарная добыча нефти за весь рентабельный период составит 382.4 тыс.т, при этом коэффициент извлечения достигнет 0,250 д.ед.</w:t>
      </w:r>
    </w:p>
    <w:p w:rsidR="00AF445D" w:rsidRPr="00AF445D" w:rsidRDefault="00AF445D" w:rsidP="00AF445D">
      <w:pPr>
        <w:widowControl w:val="0"/>
        <w:tabs>
          <w:tab w:val="left" w:pos="121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lastRenderedPageBreak/>
        <w:t>Вариант 2 (альтернативный). предусматривает вовлечение остаточных извлекаемых запасов преимущественно за счет проведения ЗБГС на скважинах №№ R104, R102 и 76Б, что позволяет сократить объем нового бурения. В отличие от базового варианта предусмотрено бурение четырех новых вертикальных скважин (№№ R112, R113, R111 и R109) вместо семи скважин, запланированных по варианту 1. Фонд скважин составит 20 ед. в т.ч. 20 добывающих и 2 нагнетательных. Период стабильной добычи нефти составит 4 года (2028–2031 гг.), максимальная годовая добыча нефти ожидается в 2030 году на уровне 24,0 тыс. т.</w:t>
      </w:r>
    </w:p>
    <w:p w:rsidR="00AF445D" w:rsidRPr="00AF445D" w:rsidRDefault="00AF445D" w:rsidP="00AF445D">
      <w:pPr>
        <w:widowControl w:val="0"/>
        <w:numPr>
          <w:ilvl w:val="0"/>
          <w:numId w:val="1"/>
        </w:numPr>
        <w:autoSpaceDE w:val="0"/>
        <w:autoSpaceDN w:val="0"/>
        <w:spacing w:after="0" w:line="240" w:lineRule="auto"/>
        <w:ind w:right="425" w:firstLine="567"/>
        <w:jc w:val="both"/>
        <w:rPr>
          <w:rFonts w:ascii="Times New Roman" w:eastAsia="Times New Roman" w:hAnsi="Times New Roman" w:cs="Times New Roman"/>
          <w:bCs/>
        </w:rPr>
      </w:pPr>
      <w:r w:rsidRPr="00AF445D">
        <w:rPr>
          <w:rFonts w:ascii="Times New Roman" w:eastAsia="Times New Roman" w:hAnsi="Times New Roman" w:cs="Times New Roman"/>
          <w:bCs/>
        </w:rPr>
        <w:t>Учитывая прогнозные концентрации химического загрязнения атмосферы, результаты расчета рассеивания приземных концентраций загрязняющих веществ в атмосферном воздухе, существенных воздействий на жизнь и здоровье людей, условия их проживания и деятельности при осуществении пректируемых работ оказывать не будет.</w:t>
      </w:r>
      <w:r w:rsidRPr="00AF445D">
        <w:rPr>
          <w:rFonts w:ascii="Times New Roman" w:eastAsia="Times New Roman" w:hAnsi="Times New Roman" w:cs="Times New Roman"/>
        </w:rPr>
        <w:t xml:space="preserve"> </w:t>
      </w:r>
    </w:p>
    <w:p w:rsidR="00AF445D" w:rsidRPr="00AF445D" w:rsidRDefault="00AF445D" w:rsidP="00AF445D">
      <w:pPr>
        <w:widowControl w:val="0"/>
        <w:autoSpaceDE w:val="0"/>
        <w:autoSpaceDN w:val="0"/>
        <w:spacing w:after="0" w:line="240" w:lineRule="auto"/>
        <w:ind w:right="425" w:firstLine="567"/>
        <w:jc w:val="both"/>
        <w:rPr>
          <w:rFonts w:ascii="Times New Roman" w:eastAsia="Times New Roman" w:hAnsi="Times New Roman" w:cs="Times New Roman"/>
          <w:bCs/>
        </w:rPr>
      </w:pPr>
      <w:r w:rsidRPr="00AF445D">
        <w:rPr>
          <w:rFonts w:ascii="Times New Roman" w:eastAsia="Times New Roman" w:hAnsi="Times New Roman" w:cs="Times New Roman"/>
          <w:bCs/>
        </w:rPr>
        <w:t>В связи с тем, что территория участка расположена на значительном расстоянии от селитебных зон воздействия на биоразнообразие района (в том числе растительный и животный мир, генетические ресурсы, природные ареалы растений и диких животных, пути миграции диких животных, экосистемы) оказываться не будет.</w:t>
      </w:r>
    </w:p>
    <w:p w:rsidR="00AF445D" w:rsidRPr="00AF445D" w:rsidRDefault="00AF445D" w:rsidP="00AF445D">
      <w:pPr>
        <w:widowControl w:val="0"/>
        <w:autoSpaceDE w:val="0"/>
        <w:autoSpaceDN w:val="0"/>
        <w:spacing w:after="0" w:line="240" w:lineRule="auto"/>
        <w:ind w:right="425" w:firstLine="567"/>
        <w:jc w:val="both"/>
        <w:rPr>
          <w:rFonts w:ascii="Times New Roman" w:eastAsia="Times New Roman" w:hAnsi="Times New Roman" w:cs="Times New Roman"/>
          <w:bCs/>
        </w:rPr>
      </w:pPr>
      <w:r w:rsidRPr="00AF445D">
        <w:rPr>
          <w:rFonts w:ascii="Times New Roman" w:eastAsia="Times New Roman" w:hAnsi="Times New Roman" w:cs="Times New Roman"/>
          <w:bCs/>
        </w:rPr>
        <w:t>Не значительное воздействия будет оказываться на техногенные нарушенные земли, расположенные смежно с рассматриваемой территорией в результате химического воздействия предприятия на атмосферный воздух. Изъятие земель не предусматривается.</w:t>
      </w:r>
    </w:p>
    <w:p w:rsidR="00AF445D" w:rsidRPr="00AF445D" w:rsidRDefault="00AF445D" w:rsidP="00AF445D">
      <w:pPr>
        <w:widowControl w:val="0"/>
        <w:autoSpaceDE w:val="0"/>
        <w:autoSpaceDN w:val="0"/>
        <w:spacing w:after="0" w:line="240" w:lineRule="auto"/>
        <w:ind w:right="425" w:firstLine="567"/>
        <w:jc w:val="both"/>
        <w:rPr>
          <w:rFonts w:ascii="Times New Roman" w:eastAsia="Times New Roman" w:hAnsi="Times New Roman" w:cs="Times New Roman"/>
          <w:bCs/>
        </w:rPr>
      </w:pPr>
      <w:r w:rsidRPr="00AF445D">
        <w:rPr>
          <w:rFonts w:ascii="Times New Roman" w:eastAsia="Times New Roman" w:hAnsi="Times New Roman" w:cs="Times New Roman"/>
          <w:bCs/>
        </w:rPr>
        <w:t>В результате производственной деятельности воздействие на поверхностные и подземные воды оказываться не будет. Сброса сточных вод не предусмотрено.</w:t>
      </w:r>
    </w:p>
    <w:p w:rsidR="00AF445D" w:rsidRPr="00AF445D" w:rsidRDefault="00AF445D" w:rsidP="00AF445D">
      <w:pPr>
        <w:widowControl w:val="0"/>
        <w:autoSpaceDE w:val="0"/>
        <w:autoSpaceDN w:val="0"/>
        <w:spacing w:after="0" w:line="240" w:lineRule="auto"/>
        <w:ind w:right="425" w:firstLine="567"/>
        <w:jc w:val="both"/>
        <w:rPr>
          <w:rFonts w:ascii="Times New Roman" w:eastAsia="Times New Roman" w:hAnsi="Times New Roman" w:cs="Times New Roman"/>
          <w:bCs/>
        </w:rPr>
      </w:pPr>
      <w:r w:rsidRPr="00AF445D">
        <w:rPr>
          <w:rFonts w:ascii="Times New Roman" w:eastAsia="Times New Roman" w:hAnsi="Times New Roman" w:cs="Times New Roman"/>
          <w:bCs/>
        </w:rPr>
        <w:t>Воздействия на атмосферный воздух будет оказываться в пределах области воздействия источниками выбросов предприятия, а также в меньшей степени источниками звукового давления. Организация на предприятии мониторинга предельных выбросов и монитринга воздействия на атмосферный воздух позволит предупредить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p>
    <w:p w:rsidR="00AF445D" w:rsidRPr="00AF445D" w:rsidRDefault="00AF445D" w:rsidP="00AF445D">
      <w:pPr>
        <w:widowControl w:val="0"/>
        <w:autoSpaceDE w:val="0"/>
        <w:autoSpaceDN w:val="0"/>
        <w:spacing w:after="0" w:line="240" w:lineRule="auto"/>
        <w:ind w:right="425" w:firstLine="567"/>
        <w:jc w:val="both"/>
        <w:rPr>
          <w:rFonts w:ascii="Times New Roman" w:eastAsia="Times New Roman" w:hAnsi="Times New Roman" w:cs="Times New Roman"/>
          <w:bCs/>
        </w:rPr>
      </w:pPr>
      <w:r w:rsidRPr="00AF445D">
        <w:rPr>
          <w:rFonts w:ascii="Times New Roman" w:eastAsia="Times New Roman" w:hAnsi="Times New Roman" w:cs="Times New Roman"/>
          <w:bCs/>
        </w:rPr>
        <w:t>Объекты историко-культурного наследия (в том числе архитектурные и археологические) в районе намечаемых работ отсутствуют.</w:t>
      </w:r>
    </w:p>
    <w:p w:rsidR="00AF445D" w:rsidRPr="00AF445D" w:rsidRDefault="00AF445D" w:rsidP="00AF445D">
      <w:pPr>
        <w:widowControl w:val="0"/>
        <w:autoSpaceDE w:val="0"/>
        <w:autoSpaceDN w:val="0"/>
        <w:spacing w:after="0" w:line="240" w:lineRule="auto"/>
        <w:ind w:right="425" w:firstLine="567"/>
        <w:jc w:val="both"/>
        <w:rPr>
          <w:rFonts w:ascii="Times New Roman" w:eastAsia="Times New Roman" w:hAnsi="Times New Roman" w:cs="Times New Roman"/>
          <w:bCs/>
        </w:rPr>
      </w:pPr>
      <w:r w:rsidRPr="00AF445D">
        <w:rPr>
          <w:rFonts w:ascii="Times New Roman" w:eastAsia="Times New Roman" w:hAnsi="Times New Roman" w:cs="Times New Roman"/>
          <w:bCs/>
        </w:rPr>
        <w:t>3)</w:t>
      </w:r>
      <w:r w:rsidRPr="00AF445D">
        <w:rPr>
          <w:rFonts w:ascii="Times New Roman" w:eastAsia="Times New Roman" w:hAnsi="Times New Roman" w:cs="Times New Roman"/>
          <w:b/>
        </w:rPr>
        <w:t xml:space="preserve">Описание ожидаемых выбросов загрязняющих веществ в атмосферу: </w:t>
      </w:r>
      <w:r w:rsidRPr="00AF445D">
        <w:rPr>
          <w:rFonts w:ascii="Times New Roman" w:eastAsia="Times New Roman" w:hAnsi="Times New Roman" w:cs="Times New Roman"/>
        </w:rPr>
        <w:t>Общий выброс ЗВ в атмосферу при бурении 1-ой эксплуатационной скважины составит: 32.00326043 г/сек и 398.361396 тонн (от 7-ми скв. №№ R108, R112, R113, R111, R110, R109 и R114 на 2028-2031 годы будут составлять 2788,529772 тонн).   За период вывода из консервации скважины №76Б в 2027 году  11,103831686 г/сек и 153,158050477 тонн.  При регламентированной эксплуатации месторождения в год максимальной добычи (2030 год) – 16,8336673 г/сек и  317,5236871 т/год. Выбросы при проведении ОВП, дострела и КРС учтены в составе эксплуатационного периода разработки месторождения как кратковременные технологические выбросы. Также при бурении и испытании  оценочной скважины №115 составит 22.00326043 г/сек и 308.161396 тонн. При проведении проектируемых работ от стационарных источников выбрасывается в атмосферу при эксплуатации месторождения следующие вещества с 1 по 4 класс опасности: Железо (II, III) оксиды 3 класс 0,00535 т/ год, Марганец и его соединения 2 класс 0,00046 т/год, Азота (IV) диоксид 2 класс - 27,64692096 т/год,  Азот (II) оксид (Азота оксид) (6)3 класс - 27,0242575 т/год, Углерод (Сажа, Углерод черный) 3класс- 10,91345064 т/год, Сера диоксид 3класс - 22,3906223 т/год, Сероводород 2класс - 0,26844308 т/год, Углерод оксид 4 класс -27,9054564 т/год, Фтористые газообразные соединения /в пересчете на фтор/ (2 класс) 0,000375 т/год, Фториды неорганические плохо растворимые 2 класс - 0,00165 т/год,  Бутан (4класс) 3,901069 т/год, Гексан (4 класс) 0,1171241 т/год, Пентан (4 класс) 0,43617155 т/год, Метан - 22,47987769 т/год,  Изобутан (2-Метилпропан) (4 класс) 0,7449961 т/год,  Смесь углеводородов предельных С1-С5 (1502*) 98,1908518 т/год, Смесь углеводородов предельных С6-С10 (1503*) - 50,8654356 т/год, Бензол (2 класс) 0,4028 т/год, Диметилбензол (смесь о-, м-, п- изомеров) (3 класс) 0,1267 т/год,  Метилбензол (3 класс) 0,2532 т/год, Проп-2-ен-1-аль (Акролеин, Акрилальдегид) (2 класс) 0,20349 т/год, Формальдегид (Метаналь) (2 класс) 0,20349 т/год,  Масло минеральное нефтяное (веретенное, машинное, цилиндровое и др.) (716*)0,000073 т/год,  Алканы С12-19 (4 класс) 23,4407224 т/год,  Пыль неорганическая, содержащая двуокись кремния в %: 70-20 (3 класс) 0,0007 т/год.</w:t>
      </w:r>
      <w:r w:rsidRPr="00AF445D">
        <w:rPr>
          <w:rFonts w:ascii="Times New Roman" w:eastAsia="Times New Roman" w:hAnsi="Times New Roman" w:cs="Times New Roman"/>
          <w:b/>
        </w:rPr>
        <w:t xml:space="preserve"> </w:t>
      </w:r>
      <w:r w:rsidRPr="00AF445D">
        <w:rPr>
          <w:rFonts w:ascii="Times New Roman" w:eastAsia="Times New Roman" w:hAnsi="Times New Roman" w:cs="Times New Roman"/>
        </w:rPr>
        <w:t xml:space="preserve">Проектируемый объект не подлежит в регистр выбросов и переноса загрязнителей в соответствии с правилами ведения регистра выбросов и переноса </w:t>
      </w:r>
      <w:r w:rsidRPr="00AF445D">
        <w:rPr>
          <w:rFonts w:ascii="Times New Roman" w:eastAsia="Times New Roman" w:hAnsi="Times New Roman" w:cs="Times New Roman"/>
        </w:rPr>
        <w:lastRenderedPageBreak/>
        <w:t>загрязнителей. Сведения о веществах, входящих в перечень загрязнителей, данные по которым подлежат внесению в регистр выбросов и переноса загрязнителей нет. В процессе реализации проектируемых работ образуются опасные и неопасные виды отходов.  При бурении 1-ой эксплуатационной скважины общее 1364,5734 тонн (от 7-ми скважин 9552,0138), в том числе:   Промасленная ветошь (150202*) 0,1334 т, Отработанные масла (130206*) 3,1375 т, Отработанные ртутьсодержащие лампы (200121*) 0,0079 т, Емкости из под масла (150110*)  0,2826т, Тара из-под химреагентов (150110*) 0,257 т, Буровой шлам (010505*) 648,0 т, Отработанный буровой раствор (010506*)  698,04 т, Огарки сварочных электродов (120113) 0,015 т, Твердо-бытовые отходы (200301) 12,7 т, Металлолом (160117) 2,0т.  При бурении 1-ой оценочной скважины общее 1364,5734 тонн, в том числе:   Промасленная ветошь (150202*) 0,1334 т, Отработанные масла (130206*) 3,1375 т, Отработанные ртутьсодержащие лампы (200121*) 0,0079 т, Емкости из под масла (150110*)  0,2826т, Тара из-под химреагентов (150110*) 0,257 т, Буровой шлам (010505*) 648,0 т, Отработанный буровой раствор (010506*)  698,04 т, Огарки сварочных электродов (120113) 0, 015 т, Твердо-бытовые отходы (200301)  12,7 т, Металлолом (160117) 2,0т. При расконсервации скважины 299,3834 тонн, в том числе: Промасленная ветошь</w:t>
      </w:r>
      <w:r w:rsidRPr="00AF445D">
        <w:rPr>
          <w:rFonts w:ascii="Times New Roman" w:eastAsia="Times New Roman" w:hAnsi="Times New Roman" w:cs="Times New Roman"/>
        </w:rPr>
        <w:tab/>
        <w:t>(150202*) 0,035 т, Отработанные масла</w:t>
      </w:r>
      <w:r w:rsidRPr="00AF445D">
        <w:rPr>
          <w:rFonts w:ascii="Times New Roman" w:eastAsia="Times New Roman" w:hAnsi="Times New Roman" w:cs="Times New Roman"/>
        </w:rPr>
        <w:tab/>
        <w:t>(130206*) 6,244 т, Отработанные ртутьсодержащие лампы (200121*)  0,0079 т, Емкости из под масла (150110*) 0,2473 т, Тара из-под химреагентов (15 01 10*) 0,225 т, Буровой шлам (010505*) 133,48 т, Отработанный буровой раствор (010506*) 141,2424 т, Огарки сварочных электродов (120113) 0,0018 т, Твердо-бытовые отходы (200301) 7,9 т, Металлолом (160117)  10 т.  При эксплуатации образуются всего – 191,58276 т/год, в том числе:   Отработанные аккумуляторы (160601*) 0,0072 т, Отработанные масла (130206*) 0,2325 т, Промасленная ветошь (150202*) 0,5486 т, СИЗ (замазученная)(опасные) 0,06 т, Отходы резинотехнических изделий (замазученные) (13 08 99*) 0,002 т, Отработанные масляные фильтры (160107*) 0,01028 т, Отработанный антифриз (16 01 14*) 0,044 т, Донные шламы (05 01 03*) 168 т, Тара из-под химреагентов (150110*) 0,39 т, Отработанные картриджи</w:t>
      </w:r>
      <w:r w:rsidRPr="00AF445D">
        <w:rPr>
          <w:rFonts w:ascii="Times New Roman" w:eastAsia="Times New Roman" w:hAnsi="Times New Roman" w:cs="Times New Roman"/>
        </w:rPr>
        <w:tab/>
        <w:t>(160213*)  0,2 т, Отработанные ртутные лампы (200121*)  0,003 т,  Твердые бытовые отходы (200301) 14,5 т, Отработанные светодиодные лампы</w:t>
      </w:r>
      <w:r w:rsidRPr="00AF445D">
        <w:rPr>
          <w:rFonts w:ascii="Times New Roman" w:eastAsia="Times New Roman" w:hAnsi="Times New Roman" w:cs="Times New Roman"/>
        </w:rPr>
        <w:tab/>
        <w:t>(20 01 36) 0,0025 т, Металлолом  (160117) 2 т, Огарки электродов (120113) 0,015 т, Отработанные автошины (160103)   0,1574 т, Отработанные воздушные фильтры (15 02 03)   0,01028 т, Пищевые отходы (20 01 08)   2,5 т, Бумага, картон (20 01 01) 2,3 т, Пластик (20 01 39)   0,28 т, Стекло (20 01 02)  0,22 т, Бракованное электрооборудование (160214)  0,1 т. Накопление отходов предусмотрено в специально оборудованных контейнерах в соответствии с требованиями законодательства Республики Казахстан. В соответствии с пп. 1 п. 2 ст. 320 Экологического кодекса Республики Казахстан временное складирование отходов на месте образования предусмотрено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 Договор на вывоз отходов со специализированными организациями будут заключены непосредственно перед началом проведения работ.</w:t>
      </w:r>
    </w:p>
    <w:p w:rsidR="00AF445D" w:rsidRPr="00AF445D" w:rsidRDefault="00AF445D" w:rsidP="00AF445D">
      <w:pPr>
        <w:widowControl w:val="0"/>
        <w:numPr>
          <w:ilvl w:val="0"/>
          <w:numId w:val="2"/>
        </w:numPr>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Вероятность возникновения аварийных ситуаций на каждом конкретном объекте зависит от множества факторов, обусловленных горно-геологическими, климатическими, техническими и другими особенностями. Количественная оценка вероятности возникновения аварийной ситуации возможна только при наличии достаточно полной репрезентативной, статистической информационной базы данных, учитывающей специфику эксплуатации объекта. Однако, как показывает опыт разведки и эксплуатации месторождений полезных ископаемых, частота возникновения аварийных ситуаций подчиняется общим закономерностям, вероятность реализации которых может быть выражена по аналогии с произошедшими событиями в системе экспертных оценок.</w:t>
      </w:r>
      <w:r w:rsidRPr="00AF445D">
        <w:rPr>
          <w:rFonts w:ascii="Times New Roman" w:eastAsia="Times New Roman" w:hAnsi="Times New Roman" w:cs="Times New Roman"/>
          <w:b/>
          <w:bCs/>
          <w:sz w:val="24"/>
          <w:szCs w:val="24"/>
        </w:rPr>
        <w:t xml:space="preserve"> </w:t>
      </w:r>
      <w:r w:rsidRPr="00AF445D">
        <w:rPr>
          <w:rFonts w:ascii="Times New Roman" w:eastAsia="Times New Roman" w:hAnsi="Times New Roman" w:cs="Times New Roman"/>
          <w:bCs/>
        </w:rPr>
        <w:t xml:space="preserve">Основными причинами возникновения аварийных ситуаций при разработке проекта на рассматриваемом месторождении являются: нарушение технологических процессов; технические ошибки операторов и другого персонала, нарушения техники безопасности и противопожарной безопасности; нарушением технологии эксплуатации и обслуживания оборудования, отказом работы оборудования, человеческим фактором; отравление выхлопными газами двигателей внутреннего сгорания спецтехники </w:t>
      </w:r>
      <w:r w:rsidRPr="00AF445D">
        <w:rPr>
          <w:rFonts w:ascii="Times New Roman" w:eastAsia="Times New Roman" w:hAnsi="Times New Roman" w:cs="Times New Roman"/>
          <w:bCs/>
        </w:rPr>
        <w:lastRenderedPageBreak/>
        <w:t xml:space="preserve">и автотранспорта, работающих на нефтепромысле; несоблюдение требований противопожарной защиты при использовании ГСМ и т.д. </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Предупреждение аварийных и чрезвычайных ситуаций как в части их предотвращения (снижения вероятности возникновения), так и в плане уменьшения потерь и ущерба от них (смягчения последствий) проводится по следующим направлениям:</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Профессиональная подготовка работника:</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первичный инструктаж по безопасным методам работы для вновь принятого или переведенного из одного цеха в другой работника (проводится мастером или начальником цеха);</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ежеквартальный инструктаж по безопасным методам работы и содержанию планов ликвидации аварий и эвакуации персонала (проводятся руководителем организации);</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повышение квалификации рабочих по специальным программам в соответствии с Типовым положением (проводится аттестованными преподавателями). Противоаварийная подготовка персонала предусматривает выполнение следующихмероприятий:</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разработка планов ликвидации аварий в цехах и на объектах, подконтрольных КЧС МВД РК; а также подготовка планов эвакуации персонала цехов и объектов в случае возникновения аварий;</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первичный инструктаж по действиям в соответствии с планами ликвидации аварий и эвакуации персонала для вновь принятых или переведенных из цеха в цех рабочих (проводится мастером или начальником цеха);</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ежеквартальный инструктаж по действиям в соответствии с планами ликвидации аварий и эвакуации персонала (проводится руководителем организации).</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Предусмотрено обязательное обучение всех работников предприятий, учреждений и организаций правилам поведения, способам защиты и действиям в чрезвычайных ситуациях.</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Занятия с ними проводятся по месту работы в соответствии с программами, разработанными с учетом особенностей производства. Работники также принимают участие в специальных учениях и тренировках.</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Для руководителей всех уровней, кроме того, предусмотрено обязательное повышение квалификации в области гражданской обороны и защиты от чрезвычайных ситуаций при назначении на должность, а в последующем не реже одного раза в пять лет.</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В качестве профилактических мер на объектах целесообразно использовать следующее:</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ужесточение пропускного режима при входе и въезде на территорию;</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установка систем сигнализации, аудио–и видеозаписи;</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тщательный подбор и проверка кадров;</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w:t>
      </w:r>
      <w:r w:rsidRPr="00AF445D">
        <w:rPr>
          <w:rFonts w:ascii="Times New Roman" w:eastAsia="Times New Roman" w:hAnsi="Times New Roman" w:cs="Times New Roman"/>
          <w:bCs/>
        </w:rPr>
        <w:tab/>
        <w:t xml:space="preserve">использование специальных средств и приборов обнаружения взрывчатых веществ и т.д. </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Каждый рабочий и служащий объекта при чрезвычайной ситуации должен умело воспользоваться имеющимися средствами оповещения и вызвать пожарную команду.</w:t>
      </w:r>
    </w:p>
    <w:p w:rsidR="00AF445D" w:rsidRPr="00AF445D" w:rsidRDefault="00AF445D" w:rsidP="00AF445D">
      <w:pPr>
        <w:widowControl w:val="0"/>
        <w:numPr>
          <w:ilvl w:val="0"/>
          <w:numId w:val="2"/>
        </w:numPr>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По атмосферному воздуху:  проведение технического осмотра и профилактических работ технологического</w:t>
      </w:r>
      <w:r w:rsidRPr="00AF445D">
        <w:rPr>
          <w:rFonts w:ascii="Times New Roman" w:eastAsia="Times New Roman" w:hAnsi="Times New Roman" w:cs="Times New Roman"/>
          <w:bCs/>
        </w:rPr>
        <w:tab/>
        <w:t>оборудования, механизмов и автотранспорта, соблюдение нормативов допустимых выбросов.</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По поверхностным и подземным водам: организация системы сбора и хранения отходов производства; контроль герметичности всех емкостей, во избежание утечек воды.</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По недрам и почвам: должны приниматься меры, исключающие загрязнение плодородного слоя почвы минеральным грунтом, строительным мусором, нефтепродуктами и другими веществами, ухудшающими плодородие почв;</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lastRenderedPageBreak/>
        <w:t>По отходам производства: своевременная организация системы сбора, транспортировки и утилизации отходов.</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По физическим воздействиям: содержание оборудования в надлежащем порядке, своевременное проведение технического осмотра и ремонта, правильное осуществление монтажа вращающихся и движущихся деталей частей оборудования и тщательная их балансировка; строгое выполнение персоналом существующих на предприятии инструкций; обязательное соблюдение правил техники безопасности. По растительному миру: перемещение спецтехники и транспорта ограничить специально отведенными дорогами; установка информационных табличек в местах произрастания редких и исчезающих растений на территории объекта, производить информационную кампанию для персонала объекта и населения с целью сохранения редких и исчезающих видов растений.</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По животному миру: контроль за недопущением разрушения и повреждения гнезд, сбор яиц без разрешения уполномоченного органа; установка информационных табличек в местах гнездования птиц; воспитание (информационная кампания) для персонала и населения в духе гуманного и бережного отношения к животным; установка вторичных глушителей выхлопа на спецтехнику и авто транспорт; регулярное техническое обслуживание производственного оборудования и его эксплуатация в соответствии со стандартами изготовителей; осуществление жесткого контроля нерегламентированной добычи животных; ограничение перемещения техники специально отведенными дорогами.</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При соблюдении этих мероприятий, потери и компенсации биоразнообразия не предусматривается. Возможных необратимых воздействий на окружающую среду решения рабочего проекта не предусматривают.</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Обоснование необходимости выполнения операций, влекущих такие воздействия не требуется.</w:t>
      </w:r>
    </w:p>
    <w:p w:rsidR="00AF445D" w:rsidRPr="00AF445D" w:rsidRDefault="00AF445D" w:rsidP="00AF445D">
      <w:pPr>
        <w:widowControl w:val="0"/>
        <w:tabs>
          <w:tab w:val="left" w:pos="0"/>
        </w:tabs>
        <w:autoSpaceDE w:val="0"/>
        <w:autoSpaceDN w:val="0"/>
        <w:spacing w:after="0" w:line="240" w:lineRule="auto"/>
        <w:ind w:right="425" w:firstLine="567"/>
        <w:jc w:val="both"/>
        <w:outlineLvl w:val="2"/>
        <w:rPr>
          <w:rFonts w:ascii="Times New Roman" w:eastAsia="Times New Roman" w:hAnsi="Times New Roman" w:cs="Times New Roman"/>
          <w:bCs/>
        </w:rPr>
      </w:pPr>
      <w:r w:rsidRPr="00AF445D">
        <w:rPr>
          <w:rFonts w:ascii="Times New Roman" w:eastAsia="Times New Roman" w:hAnsi="Times New Roman" w:cs="Times New Roman"/>
          <w:bCs/>
        </w:rPr>
        <w:t>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 не приводится.</w:t>
      </w:r>
    </w:p>
    <w:p w:rsidR="00AF445D" w:rsidRPr="00AF445D" w:rsidRDefault="00AF445D" w:rsidP="00AF445D">
      <w:pPr>
        <w:widowControl w:val="0"/>
        <w:numPr>
          <w:ilvl w:val="0"/>
          <w:numId w:val="2"/>
        </w:numPr>
        <w:autoSpaceDE w:val="0"/>
        <w:autoSpaceDN w:val="0"/>
        <w:spacing w:after="0" w:line="240" w:lineRule="auto"/>
        <w:ind w:firstLine="567"/>
        <w:rPr>
          <w:rFonts w:ascii="Times New Roman" w:eastAsia="Times New Roman" w:hAnsi="Times New Roman" w:cs="Times New Roman"/>
          <w:bCs/>
        </w:rPr>
      </w:pPr>
      <w:r w:rsidRPr="00AF445D">
        <w:rPr>
          <w:rFonts w:ascii="Times New Roman" w:eastAsia="Times New Roman" w:hAnsi="Times New Roman" w:cs="Times New Roman"/>
          <w:bCs/>
        </w:rPr>
        <w:t>Список источников информации, полученной в ходе выполнения оценки воздействия на окружающую среду:</w:t>
      </w:r>
    </w:p>
    <w:p w:rsidR="00AF445D" w:rsidRPr="00AF445D" w:rsidRDefault="00AF445D" w:rsidP="00AF445D">
      <w:pPr>
        <w:widowControl w:val="0"/>
        <w:autoSpaceDE w:val="0"/>
        <w:autoSpaceDN w:val="0"/>
        <w:spacing w:after="0" w:line="240" w:lineRule="auto"/>
        <w:ind w:firstLine="567"/>
        <w:rPr>
          <w:rFonts w:ascii="Times New Roman" w:eastAsia="Times New Roman" w:hAnsi="Times New Roman" w:cs="Times New Roman"/>
          <w:bCs/>
        </w:rPr>
      </w:pPr>
      <w:r w:rsidRPr="00AF445D">
        <w:rPr>
          <w:rFonts w:ascii="Times New Roman" w:eastAsia="Times New Roman" w:hAnsi="Times New Roman" w:cs="Times New Roman"/>
          <w:bCs/>
        </w:rPr>
        <w:t xml:space="preserve">- Экологический Кодекс Республики Казахстан 2.01.2021г., </w:t>
      </w:r>
    </w:p>
    <w:p w:rsidR="00AF445D" w:rsidRPr="00AF445D" w:rsidRDefault="00AF445D" w:rsidP="00AF445D">
      <w:pPr>
        <w:widowControl w:val="0"/>
        <w:autoSpaceDE w:val="0"/>
        <w:autoSpaceDN w:val="0"/>
        <w:spacing w:after="0" w:line="240" w:lineRule="auto"/>
        <w:ind w:firstLine="567"/>
        <w:rPr>
          <w:rFonts w:ascii="Times New Roman" w:eastAsia="Times New Roman" w:hAnsi="Times New Roman" w:cs="Times New Roman"/>
          <w:bCs/>
        </w:rPr>
      </w:pPr>
      <w:r w:rsidRPr="00AF445D">
        <w:rPr>
          <w:rFonts w:ascii="Times New Roman" w:eastAsia="Times New Roman" w:hAnsi="Times New Roman" w:cs="Times New Roman"/>
          <w:bCs/>
        </w:rPr>
        <w:t xml:space="preserve">- Классификатор отходов, утвержден приказом и.о. Министра экологии, геологии и природных ресурсов Республики Казахстан от 6 августа 2021 года № 314, </w:t>
      </w:r>
    </w:p>
    <w:p w:rsidR="00AF445D" w:rsidRPr="00AF445D" w:rsidRDefault="00AF445D" w:rsidP="00AF445D">
      <w:pPr>
        <w:widowControl w:val="0"/>
        <w:autoSpaceDE w:val="0"/>
        <w:autoSpaceDN w:val="0"/>
        <w:spacing w:after="0" w:line="240" w:lineRule="auto"/>
        <w:ind w:firstLine="567"/>
        <w:rPr>
          <w:rFonts w:ascii="Times New Roman" w:eastAsia="Times New Roman" w:hAnsi="Times New Roman" w:cs="Times New Roman"/>
          <w:bCs/>
        </w:rPr>
      </w:pPr>
      <w:r w:rsidRPr="00AF445D">
        <w:rPr>
          <w:rFonts w:ascii="Times New Roman" w:eastAsia="Times New Roman" w:hAnsi="Times New Roman" w:cs="Times New Roman"/>
          <w:bCs/>
        </w:rPr>
        <w:t xml:space="preserve">- Методика определения нормативов эмиссий в окружающую среду Приказ Министра экологии, геологии и природных ресурсов Республики Казахстан от 10 марта 2021 года № 63, </w:t>
      </w:r>
    </w:p>
    <w:p w:rsidR="00AF445D" w:rsidRPr="00AF445D" w:rsidRDefault="00AF445D" w:rsidP="00AF445D">
      <w:pPr>
        <w:widowControl w:val="0"/>
        <w:autoSpaceDE w:val="0"/>
        <w:autoSpaceDN w:val="0"/>
        <w:spacing w:after="0" w:line="240" w:lineRule="auto"/>
        <w:ind w:firstLine="567"/>
        <w:rPr>
          <w:rFonts w:ascii="Times New Roman" w:eastAsia="Times New Roman" w:hAnsi="Times New Roman" w:cs="Times New Roman"/>
          <w:bCs/>
        </w:rPr>
      </w:pPr>
      <w:r w:rsidRPr="00AF445D">
        <w:rPr>
          <w:rFonts w:ascii="Times New Roman" w:eastAsia="Times New Roman" w:hAnsi="Times New Roman" w:cs="Times New Roman"/>
          <w:bCs/>
        </w:rPr>
        <w:t>- Инструкция по организации и проведению экологической оценки Приказ Министра экологии, геологии и природных ресурсов Республики Казахстан от 30 июля 2021 года № 280.</w:t>
      </w:r>
    </w:p>
    <w:p w:rsidR="00AF445D" w:rsidRPr="00AF445D" w:rsidRDefault="00AF445D" w:rsidP="00AF445D">
      <w:pPr>
        <w:widowControl w:val="0"/>
        <w:tabs>
          <w:tab w:val="left" w:pos="1210"/>
        </w:tabs>
        <w:autoSpaceDE w:val="0"/>
        <w:autoSpaceDN w:val="0"/>
        <w:spacing w:after="0" w:line="240" w:lineRule="auto"/>
        <w:outlineLvl w:val="2"/>
        <w:rPr>
          <w:rFonts w:ascii="Times New Roman" w:eastAsia="Times New Roman" w:hAnsi="Times New Roman" w:cs="Times New Roman"/>
          <w:b/>
          <w:bCs/>
          <w:sz w:val="24"/>
          <w:szCs w:val="24"/>
        </w:rPr>
      </w:pPr>
    </w:p>
    <w:p w:rsidR="00AF445D" w:rsidRPr="00AF445D" w:rsidRDefault="00AF445D" w:rsidP="00AF445D">
      <w:pPr>
        <w:widowControl w:val="0"/>
        <w:tabs>
          <w:tab w:val="left" w:pos="1210"/>
        </w:tabs>
        <w:autoSpaceDE w:val="0"/>
        <w:autoSpaceDN w:val="0"/>
        <w:spacing w:after="0" w:line="240" w:lineRule="auto"/>
        <w:outlineLvl w:val="2"/>
        <w:rPr>
          <w:rFonts w:ascii="Times New Roman" w:eastAsia="Times New Roman" w:hAnsi="Times New Roman" w:cs="Times New Roman"/>
          <w:b/>
          <w:bCs/>
          <w:sz w:val="24"/>
          <w:szCs w:val="24"/>
        </w:rPr>
      </w:pPr>
    </w:p>
    <w:p w:rsidR="005676BA" w:rsidRDefault="005676BA">
      <w:bookmarkStart w:id="0" w:name="_GoBack"/>
      <w:bookmarkEnd w:id="0"/>
    </w:p>
    <w:sectPr w:rsidR="00567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65C37"/>
    <w:multiLevelType w:val="hybridMultilevel"/>
    <w:tmpl w:val="4E8E11D6"/>
    <w:lvl w:ilvl="0" w:tplc="4C5CB55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5DEA1DA9"/>
    <w:multiLevelType w:val="hybridMultilevel"/>
    <w:tmpl w:val="9E70D026"/>
    <w:lvl w:ilvl="0" w:tplc="9B823E5C">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B89"/>
    <w:rsid w:val="00191B89"/>
    <w:rsid w:val="005676BA"/>
    <w:rsid w:val="00AF4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3123</Words>
  <Characters>17804</Characters>
  <Application>Microsoft Office Word</Application>
  <DocSecurity>0</DocSecurity>
  <Lines>148</Lines>
  <Paragraphs>41</Paragraphs>
  <ScaleCrop>false</ScaleCrop>
  <Company>*</Company>
  <LinksUpToDate>false</LinksUpToDate>
  <CharactersWithSpaces>20886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2026-08-17T06:00:00Z</dcterms:created>
  <dcterms:modified xsi:type="dcterms:W3CDTF">2026-08-17T06:00:00Z</dcterms:modified>
</cp:coreProperties>
</file>