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8B58" w14:textId="77777777" w:rsidR="00DA6F0F" w:rsidRDefault="00DA6F0F" w:rsidP="00AC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sz w:val="24"/>
          <w:szCs w:val="24"/>
        </w:rPr>
        <w:t>НЕТЕХНИЧЕСКОЕ РЕЗЮМЕ</w:t>
      </w:r>
    </w:p>
    <w:p w14:paraId="4E4DBE2B" w14:textId="1527875C" w:rsidR="00C81C61" w:rsidRPr="002C1B3C" w:rsidRDefault="00C81C61" w:rsidP="00AC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Раздела «Охрана окружающей среды» </w:t>
      </w:r>
      <w:r w:rsidR="001C52DA" w:rsidRPr="001C52DA">
        <w:rPr>
          <w:rFonts w:ascii="Times New Roman" w:hAnsi="Times New Roman" w:cs="Times New Roman"/>
          <w:b/>
          <w:bCs/>
          <w:sz w:val="24"/>
          <w:szCs w:val="24"/>
        </w:rPr>
        <w:t xml:space="preserve">к «Индивидуальному техническому проекту на строительство </w:t>
      </w:r>
      <w:r w:rsidR="00F52042">
        <w:rPr>
          <w:rFonts w:ascii="Times New Roman" w:hAnsi="Times New Roman" w:cs="Times New Roman"/>
          <w:b/>
          <w:bCs/>
          <w:sz w:val="24"/>
          <w:szCs w:val="24"/>
          <w:lang w:val="kk-KZ"/>
        </w:rPr>
        <w:t>оценочной скважины ОС-</w:t>
      </w:r>
      <w:r w:rsidR="002418A6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F5204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на</w:t>
      </w:r>
      <w:r w:rsidR="001C52DA" w:rsidRPr="001C52DA">
        <w:rPr>
          <w:rFonts w:ascii="Times New Roman" w:hAnsi="Times New Roman" w:cs="Times New Roman"/>
          <w:b/>
          <w:bCs/>
          <w:sz w:val="24"/>
          <w:szCs w:val="24"/>
        </w:rPr>
        <w:t xml:space="preserve"> месторождени</w:t>
      </w:r>
      <w:r w:rsidR="00F52042">
        <w:rPr>
          <w:rFonts w:ascii="Times New Roman" w:hAnsi="Times New Roman" w:cs="Times New Roman"/>
          <w:b/>
          <w:bCs/>
          <w:sz w:val="24"/>
          <w:szCs w:val="24"/>
          <w:lang w:val="kk-KZ"/>
        </w:rPr>
        <w:t>и Кожасай с проектной глубиной 3800 м</w:t>
      </w:r>
      <w:r w:rsidR="001C52DA" w:rsidRPr="001C52D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4F90E26" w14:textId="77777777" w:rsidR="00C81C61" w:rsidRDefault="00C81C61" w:rsidP="00CD028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AB83E9" w14:textId="77777777" w:rsidR="00F52042" w:rsidRDefault="00F52042" w:rsidP="00F520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2042">
        <w:rPr>
          <w:rFonts w:ascii="Times New Roman" w:hAnsi="Times New Roman" w:cs="Times New Roman"/>
          <w:sz w:val="24"/>
          <w:szCs w:val="24"/>
        </w:rPr>
        <w:t xml:space="preserve">ТОО «Казахойл Актобе» осуществляет деятельность по недропользованию в соответствии с Дополнением № 6 к Контракту № 359 от 10.08.1999 г. и Контрактом на добычу углеводородного сырья № 5373-УВС от 04.10.2024 г., заключенным на срок 2025–2027 гг. Горный отвод расположен на территории Актюбинской области. </w:t>
      </w:r>
    </w:p>
    <w:p w14:paraId="4298D8D7" w14:textId="1A1A9AA6" w:rsidR="00F52042" w:rsidRPr="00F52042" w:rsidRDefault="00F52042" w:rsidP="00F520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2042">
        <w:rPr>
          <w:rFonts w:ascii="Times New Roman" w:hAnsi="Times New Roman" w:cs="Times New Roman"/>
          <w:sz w:val="24"/>
          <w:szCs w:val="24"/>
        </w:rPr>
        <w:t>Площадь горного отвода месторождения Кожасай составляет 95,27 км².</w:t>
      </w:r>
    </w:p>
    <w:p w14:paraId="4699DD08" w14:textId="0E8024C3" w:rsidR="00DA6F0F" w:rsidRPr="002C1B3C" w:rsidRDefault="00DA6F0F" w:rsidP="00CD028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sz w:val="24"/>
          <w:szCs w:val="24"/>
        </w:rPr>
        <w:t>Координаты проектируемых скважин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850"/>
        <w:gridCol w:w="3192"/>
        <w:gridCol w:w="3159"/>
      </w:tblGrid>
      <w:tr w:rsidR="00DA6F0F" w:rsidRPr="002C1B3C" w14:paraId="66F7035D" w14:textId="77777777" w:rsidTr="00DA6F0F">
        <w:trPr>
          <w:trHeight w:val="103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14ABC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D5CC511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114EA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38C12AD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скв</w:t>
            </w:r>
          </w:p>
        </w:tc>
        <w:tc>
          <w:tcPr>
            <w:tcW w:w="3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53D20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координаты</w:t>
            </w:r>
          </w:p>
        </w:tc>
      </w:tr>
      <w:tr w:rsidR="00DA6F0F" w:rsidRPr="002C1B3C" w14:paraId="2BFFD8A4" w14:textId="77777777" w:rsidTr="00DA6F0F">
        <w:trPr>
          <w:trHeight w:val="2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E1AD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69FC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CD4F7" w14:textId="7D95FC38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широта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30190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восточная долгота</w:t>
            </w:r>
          </w:p>
        </w:tc>
      </w:tr>
      <w:tr w:rsidR="00DA6F0F" w:rsidRPr="002C1B3C" w14:paraId="5C658EA3" w14:textId="77777777" w:rsidTr="00DA6F0F">
        <w:trPr>
          <w:trHeight w:val="242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6D1A4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52DB0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679C1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99929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A6F0F" w:rsidRPr="002C1B3C" w14:paraId="6A820469" w14:textId="77777777" w:rsidTr="00DA6F0F">
        <w:trPr>
          <w:trHeight w:val="242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DC3" w14:textId="6D19984D" w:rsidR="00DA6F0F" w:rsidRPr="002C1B3C" w:rsidRDefault="00165649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36EA" w14:textId="3B972C0D" w:rsidR="00DA6F0F" w:rsidRPr="00F52042" w:rsidRDefault="00F52042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ОС-</w:t>
            </w:r>
            <w:r w:rsidR="002418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B07C" w14:textId="43C0F1D3" w:rsidR="00DA6F0F" w:rsidRPr="002C1B3C" w:rsidRDefault="001C52DA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F52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418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2418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F52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5A18" w14:textId="685A27A9" w:rsidR="00DA6F0F" w:rsidRPr="002C1B3C" w:rsidRDefault="001C52DA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2418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2418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18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14:paraId="4F571914" w14:textId="77777777" w:rsidR="00165649" w:rsidRPr="00165649" w:rsidRDefault="00165649" w:rsidP="00165649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Месторождение Кожасай в административном отношении находится в Байганинском районе Актюбинской области Республики Казахстан. </w:t>
      </w:r>
    </w:p>
    <w:p w14:paraId="5B69FE4A" w14:textId="77777777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Месторождение Кожасай расположено в 245 км от города Актюбинска. Ближайший населенный пункт - пос. Кожасай находится в 1,5 км </w:t>
      </w:r>
    </w:p>
    <w:p w14:paraId="0C4D378D" w14:textId="77777777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Железнодорожный узел Эмба находится около 120 км к северо-востоку от площади Кожасай. Сообщение с городом Актобе, а также с нефтепромыслами Кенкияк и Жанажол осуществляется по шоссейной дороге. В непосредственной близости, в 5 км к северо-востоку, находится разрабатываемое месторождение Жанажол, где построен базовый поселок нефтедобытчиков и действует небольшой завод по получению серы из растворенного в нефти газа.</w:t>
      </w:r>
    </w:p>
    <w:p w14:paraId="0958C776" w14:textId="77777777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Транспортировка добываемой нефти от месторождения Кожасай до промысла Кенкияк осуществляется по нефтепроводу и далее по магистральному нефтепроводу, который проходит на расстоянии 100 км - до города Орск (Россия).</w:t>
      </w:r>
    </w:p>
    <w:p w14:paraId="2EAF1701" w14:textId="2DE8A5ED" w:rsidR="00C81C61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Район работ расположен в пределах Предуральского плато и представляет собой слабо всхолмленную равнину с редкой сетью балок и оврагов. Абсолютные отметки рельефа изменяются от +140 м до +260 м и повышаются с запада на восток, от правобережья р. Эмба в сторону Мугаджарских гор. Гидрографическая сеть представлена рекой Эмба и левыми притоками рек Атжаксы и Ащисай. Главной водной артерией является р. Эмба, которая пересекает площадь с северо-востока на юго-запад и имеет постоянный водоток. Источники питьевой воды находятся на месторождении, в пределах песчаного массива Кокжиде.</w:t>
      </w:r>
    </w:p>
    <w:p w14:paraId="47E1F902" w14:textId="64EBE23C" w:rsidR="00DA6F0F" w:rsidRPr="002C1B3C" w:rsidRDefault="00DA6F0F" w:rsidP="00CD028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об инициаторе намечаемой деятельности, его контактные данные</w:t>
      </w:r>
    </w:p>
    <w:p w14:paraId="44737D67" w14:textId="72252465" w:rsidR="00155034" w:rsidRDefault="00DA6F0F" w:rsidP="002C1B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ab/>
        <w:t>Инициатор намечаемой деятельности: ТОО «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Казахойл Актобе</w:t>
      </w:r>
      <w:r w:rsidRPr="002C1B3C">
        <w:rPr>
          <w:rFonts w:ascii="Times New Roman" w:hAnsi="Times New Roman" w:cs="Times New Roman"/>
          <w:sz w:val="24"/>
          <w:szCs w:val="24"/>
        </w:rPr>
        <w:t xml:space="preserve">», БИН: </w:t>
      </w:r>
      <w:r w:rsidR="00165649" w:rsidRPr="00165649">
        <w:rPr>
          <w:rFonts w:ascii="Times New Roman" w:hAnsi="Times New Roman" w:cs="Times New Roman"/>
          <w:bCs/>
          <w:sz w:val="24"/>
          <w:szCs w:val="24"/>
          <w:lang w:val="kk-KZ"/>
        </w:rPr>
        <w:t>990940002914</w:t>
      </w:r>
      <w:r w:rsidRPr="002C1B3C">
        <w:rPr>
          <w:rFonts w:ascii="Times New Roman" w:hAnsi="Times New Roman" w:cs="Times New Roman"/>
          <w:sz w:val="24"/>
          <w:szCs w:val="24"/>
        </w:rPr>
        <w:t xml:space="preserve">, </w:t>
      </w:r>
      <w:r w:rsidRPr="002C1B3C">
        <w:rPr>
          <w:rFonts w:ascii="Times New Roman" w:hAnsi="Times New Roman" w:cs="Times New Roman"/>
          <w:bCs/>
          <w:sz w:val="24"/>
          <w:szCs w:val="24"/>
        </w:rPr>
        <w:t>г</w:t>
      </w:r>
      <w:r w:rsidR="00CD0283" w:rsidRPr="00CD028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Актобе</w:t>
      </w:r>
      <w:r w:rsidR="00CD0283" w:rsidRPr="00CD028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пр. А.Молдагуловой, 46. </w:t>
      </w:r>
      <w:r w:rsidRPr="002C1B3C">
        <w:rPr>
          <w:rFonts w:ascii="Times New Roman" w:hAnsi="Times New Roman" w:cs="Times New Roman"/>
          <w:bCs/>
          <w:sz w:val="24"/>
          <w:szCs w:val="24"/>
        </w:rPr>
        <w:t>Тел:</w:t>
      </w:r>
      <w:r w:rsidR="001C52DA" w:rsidRPr="001C52DA">
        <w:t xml:space="preserve"> 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>8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>(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7132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93 32 99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>, 8(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7132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55 73 25.</w:t>
      </w:r>
    </w:p>
    <w:p w14:paraId="6E9DFD8B" w14:textId="77777777" w:rsidR="00DA6F0F" w:rsidRPr="002C1B3C" w:rsidRDefault="00DA6F0F" w:rsidP="0016564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Краткое описание намечаемой деятельности</w:t>
      </w:r>
    </w:p>
    <w:p w14:paraId="570D3904" w14:textId="5C343FC2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649">
        <w:rPr>
          <w:rFonts w:ascii="Times New Roman" w:hAnsi="Times New Roman" w:cs="Times New Roman"/>
          <w:sz w:val="24"/>
          <w:szCs w:val="24"/>
        </w:rPr>
        <w:t>Проектом предусматривается строительство одной оценочной скважины ОС-</w:t>
      </w:r>
      <w:r w:rsidR="002418A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165649">
        <w:rPr>
          <w:rFonts w:ascii="Times New Roman" w:hAnsi="Times New Roman" w:cs="Times New Roman"/>
          <w:sz w:val="24"/>
          <w:szCs w:val="24"/>
        </w:rPr>
        <w:t xml:space="preserve">, глубиной 3800 по вертикали и стволу на месторождении Кожасай. </w:t>
      </w:r>
    </w:p>
    <w:p w14:paraId="384F853B" w14:textId="7D208599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649">
        <w:rPr>
          <w:rFonts w:ascii="Times New Roman" w:hAnsi="Times New Roman" w:cs="Times New Roman"/>
          <w:sz w:val="24"/>
          <w:szCs w:val="24"/>
        </w:rPr>
        <w:t>Вид скважины – вертикальная.  Способ бурение – безамбарный.</w:t>
      </w:r>
      <w:r w:rsidRPr="001656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65649">
        <w:rPr>
          <w:rFonts w:ascii="Times New Roman" w:hAnsi="Times New Roman" w:cs="Times New Roman"/>
          <w:sz w:val="24"/>
          <w:szCs w:val="24"/>
        </w:rPr>
        <w:t>Для бурения скважин будет использована буровая установка ZJ-70, ZJ-50 или аналогичная буровая установка грузоподъемностью и проходить по следующим этапам (всего 200,0 суток): строительно-монтажные работы – 15,0 суток; подготовительные работы – 5,0 суток; бурение и крепление скважин – 90,0 суток; испытание в эксплуатационной колонне – 90,0 суток.</w:t>
      </w:r>
      <w:r w:rsidRPr="001656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65649">
        <w:rPr>
          <w:rFonts w:ascii="Times New Roman" w:hAnsi="Times New Roman" w:cs="Times New Roman"/>
          <w:sz w:val="24"/>
          <w:szCs w:val="24"/>
        </w:rPr>
        <w:lastRenderedPageBreak/>
        <w:t>Среднее число персонала, привлекаемого во время строительства скважины составляет в сутки – 30 человек. Члены буровой бригады будут проживать в вахтовом поселке, и доставляться на буровую автобусом. Размеры отводимых во временное пользование земель под строительство скважины составляет – 2,7 га.</w:t>
      </w:r>
    </w:p>
    <w:p w14:paraId="5FED5639" w14:textId="2BE11CB8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Строительство оценочной скважины ОС-</w:t>
      </w:r>
      <w:r w:rsidR="002418A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1A4164">
        <w:rPr>
          <w:rFonts w:ascii="Times New Roman" w:hAnsi="Times New Roman" w:cs="Times New Roman"/>
          <w:sz w:val="24"/>
          <w:szCs w:val="24"/>
        </w:rPr>
        <w:t xml:space="preserve"> предусмотрено в 2026-2027годы.</w:t>
      </w:r>
    </w:p>
    <w:p w14:paraId="6CA0323C" w14:textId="3DFC4ACA" w:rsidR="00DA6F0F" w:rsidRPr="002C1B3C" w:rsidRDefault="00DA6F0F" w:rsidP="00CD02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53A95563" w14:textId="7F9D2206" w:rsidR="00CD0283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C1B3C">
        <w:rPr>
          <w:rFonts w:ascii="Times New Roman" w:hAnsi="Times New Roman" w:cs="Times New Roman"/>
          <w:sz w:val="24"/>
          <w:szCs w:val="24"/>
        </w:rPr>
        <w:t>С</w:t>
      </w:r>
      <w:r w:rsidRPr="002C1B3C">
        <w:rPr>
          <w:rFonts w:ascii="Times New Roman" w:hAnsi="Times New Roman" w:cs="Times New Roman"/>
          <w:sz w:val="24"/>
          <w:szCs w:val="24"/>
          <w:lang w:val="kk-KZ"/>
        </w:rPr>
        <w:t xml:space="preserve">уммарное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выбросы</w:t>
      </w:r>
      <w:r w:rsidRPr="002C1B3C">
        <w:rPr>
          <w:rFonts w:ascii="Times New Roman" w:hAnsi="Times New Roman" w:cs="Times New Roman"/>
          <w:sz w:val="24"/>
          <w:szCs w:val="24"/>
          <w:lang w:val="kk-KZ"/>
        </w:rPr>
        <w:t xml:space="preserve"> загрязняющих веществ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 xml:space="preserve"> от стационарных источников при</w:t>
      </w:r>
      <w:r w:rsidRPr="002C1B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 xml:space="preserve">строительства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оценочной скважины</w:t>
      </w:r>
      <w:r w:rsidR="00EC2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ОС-</w:t>
      </w:r>
      <w:r w:rsidR="002418A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BE10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в 2026-2027 году составляет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1A4164" w:rsidRPr="001A4164">
        <w:rPr>
          <w:rFonts w:ascii="Times New Roman" w:eastAsia="Calibri" w:hAnsi="Times New Roman" w:cs="Times New Roman"/>
          <w:sz w:val="24"/>
          <w:szCs w:val="24"/>
        </w:rPr>
        <w:t>32</w:t>
      </w:r>
      <w:r w:rsidR="001A4164" w:rsidRPr="001A4164">
        <w:rPr>
          <w:rFonts w:ascii="Times New Roman" w:eastAsia="Calibri" w:hAnsi="Times New Roman" w:cs="Times New Roman"/>
        </w:rPr>
        <w:t>,</w:t>
      </w:r>
      <w:r w:rsidR="001A4164" w:rsidRPr="001A4164">
        <w:rPr>
          <w:rFonts w:ascii="Times New Roman" w:eastAsia="Calibri" w:hAnsi="Times New Roman" w:cs="Times New Roman"/>
          <w:sz w:val="24"/>
          <w:szCs w:val="24"/>
        </w:rPr>
        <w:t>699576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 xml:space="preserve"> г/сек и </w:t>
      </w:r>
      <w:r w:rsidR="001A4164" w:rsidRPr="001A41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136,93061</w:t>
      </w:r>
      <w:r w:rsidR="001A416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>т/год.</w:t>
      </w:r>
    </w:p>
    <w:p w14:paraId="7510EA7F" w14:textId="4D8DCAC9" w:rsidR="00DA6F0F" w:rsidRPr="002C1B3C" w:rsidRDefault="00DA6F0F" w:rsidP="00CD0283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Информация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деятельности.</w:t>
      </w:r>
    </w:p>
    <w:p w14:paraId="208E9C9B" w14:textId="77777777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Все образующиеся отходы будут передаваться специализированным организациям имеющие лицензию по переработке, обезвреживанию, утилизации и (или) уничтожению опасных отходов. Договора по передаче отходов на период 2026г. будут заключаться ежегодно по итогам тендера закупа услуг.</w:t>
      </w:r>
    </w:p>
    <w:p w14:paraId="1A1AA3FA" w14:textId="77777777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Виды отходов определяются на основании Классификатора отходов (Приказ и.о. Министра экологии, геологии и природных ресурсов Республики Казахстан от 6 августа 2021 года № 314).</w:t>
      </w:r>
    </w:p>
    <w:p w14:paraId="0B11741B" w14:textId="77777777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Виды отходов относятся к опасным или неопасным в соответствии с классификатором отходов.</w:t>
      </w:r>
    </w:p>
    <w:p w14:paraId="3DEF7123" w14:textId="25D42DDF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4164">
        <w:rPr>
          <w:rFonts w:ascii="Times New Roman" w:hAnsi="Times New Roman" w:cs="Times New Roman"/>
          <w:sz w:val="24"/>
          <w:szCs w:val="24"/>
        </w:rPr>
        <w:t>Каждый вид отходов в классификаторе отходов идентифицируется путем присвоения шестизначного кода</w:t>
      </w:r>
      <w:r w:rsidRPr="001A416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B4ADFB3" w14:textId="33E1049F" w:rsidR="001A4164" w:rsidRPr="00377F80" w:rsidRDefault="001A4164" w:rsidP="00377F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62698720"/>
      <w:r w:rsidRPr="00377F80">
        <w:rPr>
          <w:rFonts w:ascii="Times New Roman" w:hAnsi="Times New Roman" w:cs="Times New Roman"/>
          <w:sz w:val="24"/>
          <w:szCs w:val="24"/>
          <w:lang w:val="kk-KZ"/>
        </w:rPr>
        <w:t>Лимиты накопления отходов производства и потребления при строительстве одной оценочной скв. ОС-</w:t>
      </w:r>
      <w:r w:rsidR="002418A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гл.</w:t>
      </w:r>
      <w:r w:rsidR="00241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3800 м  </w:t>
      </w:r>
      <w:r w:rsidRPr="00377F80">
        <w:rPr>
          <w:rFonts w:ascii="Times New Roman" w:hAnsi="Times New Roman" w:cs="Times New Roman"/>
          <w:sz w:val="24"/>
          <w:szCs w:val="24"/>
        </w:rPr>
        <w:t>составляет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  – 964,37т/г. </w:t>
      </w:r>
    </w:p>
    <w:p w14:paraId="26CCB90D" w14:textId="77777777" w:rsidR="00377F80" w:rsidRPr="00377F80" w:rsidRDefault="001A4164" w:rsidP="00377F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Опасные отходы - буровой шлам (01 05 05*) – 779,195т; отработанный буровой раствор (01 05 06*) – 179,657т; отработанные масла (13 02 08*) – </w:t>
      </w:r>
      <w:r w:rsidRPr="00377F80">
        <w:rPr>
          <w:rFonts w:ascii="Times New Roman" w:eastAsia="Times New Roman" w:hAnsi="Times New Roman" w:cs="Times New Roman"/>
          <w:sz w:val="24"/>
          <w:szCs w:val="24"/>
        </w:rPr>
        <w:t>4,17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>т, отработанные аккумуляторы  (16 06 01*) – 0,00013т, промасленная ветошь (15 02 02*) – 0,0635 т</w:t>
      </w:r>
      <w:r w:rsidR="00377F80" w:rsidRPr="00377F8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7234A13" w14:textId="15C5CC40" w:rsidR="001A4164" w:rsidRPr="00377F80" w:rsidRDefault="00377F80" w:rsidP="00377F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F80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1A4164" w:rsidRPr="00377F80">
        <w:rPr>
          <w:rFonts w:ascii="Times New Roman" w:hAnsi="Times New Roman" w:cs="Times New Roman"/>
          <w:sz w:val="24"/>
          <w:szCs w:val="24"/>
          <w:lang w:val="kk-KZ"/>
        </w:rPr>
        <w:t>еопасные отходы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1A4164"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металлолом (17 04 07) – 0,0002 т, огарки сварочных электродов (12 01 13) – 0,0015т, коммунальные отходы (ТБО) (20 03 01) – 1,2847т.</w:t>
      </w:r>
      <w:bookmarkEnd w:id="0"/>
    </w:p>
    <w:p w14:paraId="12A86DE6" w14:textId="37E5DFDF" w:rsidR="00DA6F0F" w:rsidRPr="002C1B3C" w:rsidRDefault="00DA6F0F" w:rsidP="00CD0283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Водопотребление и водоотведение</w:t>
      </w:r>
    </w:p>
    <w:p w14:paraId="0FBCB9BC" w14:textId="77777777" w:rsidR="007C234F" w:rsidRP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_Hlk179899267"/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Вода для технических нужд также доставляется подрядной организацией согласно договору, которая определяется путем проведения открытого тендера, т.е. при реализации данного проекта будет использована привозная вода. </w:t>
      </w:r>
    </w:p>
    <w:p w14:paraId="562E1778" w14:textId="77777777" w:rsidR="007C234F" w:rsidRP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>Буровые бригады и обслуживающий персонал размещаются в передвижных вагончиках, оборудованных душевыми, умывальниками и биотуалетами. Также предусмотрены столовая и прачечная.</w:t>
      </w:r>
    </w:p>
    <w:p w14:paraId="41473CF2" w14:textId="77777777" w:rsidR="007C234F" w:rsidRP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>Техническая вода используется для приготовления бурового и тампонажного растворов, промывки оборудования и рабочей площадки, затворения цемента, а также для других производственных целей. Поставка воды для технических нужд осуществляется подрядными организациями в соответствии с договором.</w:t>
      </w:r>
    </w:p>
    <w:p w14:paraId="64F9EE66" w14:textId="77777777" w:rsid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>Для хранения технической воды проектом предусмотрен резервуар объёмом 50 м³.</w:t>
      </w:r>
    </w:p>
    <w:p w14:paraId="5940A9B5" w14:textId="77777777" w:rsidR="007C234F" w:rsidRPr="005D04DF" w:rsidRDefault="007C234F" w:rsidP="007C234F">
      <w:pPr>
        <w:pStyle w:val="ad"/>
        <w:spacing w:before="0" w:beforeAutospacing="0" w:after="120" w:afterAutospacing="0"/>
        <w:ind w:firstLine="709"/>
        <w:jc w:val="both"/>
      </w:pPr>
      <w:r w:rsidRPr="005D04DF">
        <w:lastRenderedPageBreak/>
        <w:t>Хоз-бытовые сточные воды сбрасываются в биотуалет, по мере накопления стоки будут вывозиться спецавтотранспортом по договору. В связи с этим внедрение оборотных систем, повторного использования сточных вод, способы утилизации осадков очистных сооружений не требуется.</w:t>
      </w:r>
    </w:p>
    <w:p w14:paraId="630348B6" w14:textId="7E2CCE69" w:rsidR="007C234F" w:rsidRPr="002C1B3C" w:rsidRDefault="007C234F" w:rsidP="007C234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  <w:u w:val="single"/>
        </w:rPr>
        <w:t>Баланс водоотведения и водопотребления в период строительства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оценочный</w:t>
      </w:r>
      <w:r w:rsidRPr="002C1B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скважин ОС-</w:t>
      </w:r>
      <w:r w:rsidR="00AF3D34">
        <w:rPr>
          <w:rFonts w:ascii="Times New Roman" w:hAnsi="Times New Roman" w:cs="Times New Roman"/>
          <w:sz w:val="24"/>
          <w:szCs w:val="24"/>
          <w:u w:val="single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C1B3C">
        <w:rPr>
          <w:rFonts w:ascii="Times New Roman" w:hAnsi="Times New Roman" w:cs="Times New Roman"/>
          <w:sz w:val="24"/>
          <w:szCs w:val="24"/>
          <w:u w:val="single"/>
        </w:rPr>
        <w:t>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B3C">
        <w:rPr>
          <w:rFonts w:ascii="Times New Roman" w:hAnsi="Times New Roman" w:cs="Times New Roman"/>
          <w:sz w:val="24"/>
          <w:szCs w:val="24"/>
        </w:rPr>
        <w:t>водопотребление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2151,24825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B3C">
        <w:rPr>
          <w:rFonts w:ascii="Times New Roman" w:hAnsi="Times New Roman" w:cs="Times New Roman"/>
          <w:sz w:val="24"/>
          <w:szCs w:val="24"/>
        </w:rPr>
        <w:t>м</w:t>
      </w:r>
      <w:r w:rsidRPr="002C1B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1B3C">
        <w:rPr>
          <w:rFonts w:ascii="Times New Roman" w:hAnsi="Times New Roman" w:cs="Times New Roman"/>
          <w:sz w:val="24"/>
          <w:szCs w:val="24"/>
        </w:rPr>
        <w:t xml:space="preserve">, водоотведение – </w:t>
      </w:r>
      <w:r>
        <w:rPr>
          <w:rFonts w:ascii="Times New Roman" w:hAnsi="Times New Roman" w:cs="Times New Roman"/>
          <w:sz w:val="24"/>
          <w:szCs w:val="24"/>
          <w:lang w:val="kk-KZ"/>
        </w:rPr>
        <w:t>485,2586</w:t>
      </w:r>
      <w:r w:rsidRPr="002C1B3C">
        <w:rPr>
          <w:rFonts w:ascii="Times New Roman" w:hAnsi="Times New Roman" w:cs="Times New Roman"/>
          <w:sz w:val="24"/>
          <w:szCs w:val="24"/>
        </w:rPr>
        <w:t xml:space="preserve"> м</w:t>
      </w:r>
      <w:r w:rsidRPr="002C1B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1B3C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F6828D4" w14:textId="77777777" w:rsidR="00DA6F0F" w:rsidRPr="002C1B3C" w:rsidRDefault="00DA6F0F" w:rsidP="00AC02DF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Информации о вероятности возникновения аварий и опасных природных явлений;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последствий, включая оповещение населения.</w:t>
      </w:r>
    </w:p>
    <w:p w14:paraId="79F321C2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Основными мерами предупреждения аварий является строгое исполнение технологической и производственной дисциплины, оперативный контроль, а также:</w:t>
      </w:r>
    </w:p>
    <w:p w14:paraId="49FF864F" w14:textId="77777777" w:rsidR="00BE1013" w:rsidRDefault="00DA6F0F" w:rsidP="00BE10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E1013">
        <w:rPr>
          <w:rFonts w:ascii="Times New Roman" w:hAnsi="Times New Roman" w:cs="Times New Roman"/>
          <w:bCs/>
          <w:sz w:val="24"/>
          <w:szCs w:val="24"/>
          <w:lang w:val="x-none"/>
        </w:rPr>
        <w:t>строгое выполнение проектных решений при проведении строительных работ;</w:t>
      </w:r>
    </w:p>
    <w:p w14:paraId="131E9D69" w14:textId="0D672B94" w:rsidR="00DA6F0F" w:rsidRPr="00BE1013" w:rsidRDefault="00DA6F0F" w:rsidP="00BE10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E1013">
        <w:rPr>
          <w:rFonts w:ascii="Times New Roman" w:hAnsi="Times New Roman" w:cs="Times New Roman"/>
          <w:bCs/>
          <w:sz w:val="24"/>
          <w:szCs w:val="24"/>
          <w:lang w:val="x-none"/>
        </w:rPr>
        <w:t>обязательное соблюдение всех правил эксплуатации технологического</w:t>
      </w:r>
    </w:p>
    <w:p w14:paraId="188987E9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оборудования при строительстве и эксплуатации объектов;</w:t>
      </w:r>
    </w:p>
    <w:p w14:paraId="6F2FA30C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периодическое проведение инструктажей и занятий по технике безопасности;</w:t>
      </w:r>
    </w:p>
    <w:p w14:paraId="118F066A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регулярное проведение учений по тревоге;</w:t>
      </w:r>
    </w:p>
    <w:p w14:paraId="36F5B825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контроль за наличием спасательного и защитного оборудования и умением персонала им пользоваться;</w:t>
      </w:r>
    </w:p>
    <w:p w14:paraId="0BA640A8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своевременное устранение утечки во время работы механизмов;</w:t>
      </w:r>
    </w:p>
    <w:p w14:paraId="040B1F03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использование контейнеров для сбора отходов производства и потребления.</w:t>
      </w:r>
    </w:p>
    <w:p w14:paraId="39B16F7C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В случае фиксирования аварийных ситуаций, связанных с загрязнением окружающей среды, руководство предприятия должно проинформировать о данных фактах областной Департамент экологии, принять меры по ликвидации последствий после аварий, определить размер ущерба, причиненного компонентам окружающей среды, осуществить соответствующие платежи в фонд охраны природы. Своевременная ликвидация аварий уменьшает степень отрицательного воздействия на окружающую природную среду.</w:t>
      </w:r>
    </w:p>
    <w:p w14:paraId="670EC721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 xml:space="preserve">После устранения аварийной ситуации на предприятии должны быть откорректированы мероприятия по предупреждению подобных ситуаций. </w:t>
      </w:r>
    </w:p>
    <w:p w14:paraId="3CFA2A16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 xml:space="preserve">План детализации мониторинга должен быть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ситуации. </w:t>
      </w:r>
    </w:p>
    <w:p w14:paraId="642D5373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После ликвидации аварийной ситуации вышеуказанные виды наблюдений переходят на постоянно действующий режим мониторинга со сгущением точек наблюдений (отбора проб) в границах зоны влияния аварии. Данные наблюдения проводятся на протяжении цикла реабилитации территории, в том числе в течение двух лет после её завершения.</w:t>
      </w:r>
    </w:p>
    <w:p w14:paraId="39E74B3A" w14:textId="77777777" w:rsidR="00DA6F0F" w:rsidRPr="002C1B3C" w:rsidRDefault="00DA6F0F" w:rsidP="00AC02D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Разработка плана действий в чрезвычайных ситуациях по индивидуальному предупреждению и (или) ликвидации последствий загрязнения окружающей среды (загрязнения земельных ресурсов, атмосферного воздуха и водных ресурсов).</w:t>
      </w:r>
    </w:p>
    <w:p w14:paraId="793DD1D9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Согласно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53A8739B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lastRenderedPageBreak/>
        <w:t>При обнаружении аварийных выбросов загрязняющих веществ в окружающую среду, т.е при угрозе возникновения чрезвычайной экологической ситуации техногенного характера диспетчер объекта обязан немедленно об этом информировать соответствующие технические службы, а также руководство службы ОТ, ТБ и ООС для приятия мер по нормализации обстановки, а оно, в свою очередь, должно информировать государственные органы охраны окружающей среды и другие ведомства в установленном законодательством порядке.</w:t>
      </w:r>
    </w:p>
    <w:p w14:paraId="0067F23B" w14:textId="77777777" w:rsidR="00DA6F0F" w:rsidRPr="00DA6F0F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EC46AA5" w14:textId="77777777" w:rsidR="00DA6F0F" w:rsidRPr="00DA6F0F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3C1209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8CC02E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B5878B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1DA95F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F7A576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9374C2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F32EF6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F86B9" w14:textId="77777777" w:rsidR="004E6CB8" w:rsidRPr="00DA6F0F" w:rsidRDefault="004E6CB8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E6CB8" w:rsidRPr="00DA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SimSun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C21"/>
    <w:multiLevelType w:val="hybridMultilevel"/>
    <w:tmpl w:val="B6F435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791"/>
    <w:multiLevelType w:val="hybridMultilevel"/>
    <w:tmpl w:val="F488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15A"/>
    <w:multiLevelType w:val="hybridMultilevel"/>
    <w:tmpl w:val="8B106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5A99"/>
    <w:multiLevelType w:val="multilevel"/>
    <w:tmpl w:val="067661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abstractNum w:abstractNumId="4" w15:restartNumberingAfterBreak="0">
    <w:nsid w:val="4CA057CD"/>
    <w:multiLevelType w:val="hybridMultilevel"/>
    <w:tmpl w:val="30FE0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067446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260600">
    <w:abstractNumId w:val="4"/>
  </w:num>
  <w:num w:numId="3" w16cid:durableId="2095004802">
    <w:abstractNumId w:val="2"/>
  </w:num>
  <w:num w:numId="4" w16cid:durableId="1285959494">
    <w:abstractNumId w:val="0"/>
  </w:num>
  <w:num w:numId="5" w16cid:durableId="104217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F3"/>
    <w:rsid w:val="000303C1"/>
    <w:rsid w:val="000E4962"/>
    <w:rsid w:val="00155034"/>
    <w:rsid w:val="00165649"/>
    <w:rsid w:val="001A4164"/>
    <w:rsid w:val="001A4CE0"/>
    <w:rsid w:val="001C52DA"/>
    <w:rsid w:val="002418A6"/>
    <w:rsid w:val="002C1B3C"/>
    <w:rsid w:val="00377F80"/>
    <w:rsid w:val="00461C5E"/>
    <w:rsid w:val="004E6CB8"/>
    <w:rsid w:val="00500DFB"/>
    <w:rsid w:val="00512B60"/>
    <w:rsid w:val="00590148"/>
    <w:rsid w:val="006B715E"/>
    <w:rsid w:val="00777335"/>
    <w:rsid w:val="007C234F"/>
    <w:rsid w:val="0083149D"/>
    <w:rsid w:val="008621E7"/>
    <w:rsid w:val="00AC02DF"/>
    <w:rsid w:val="00AF3D34"/>
    <w:rsid w:val="00BC03D8"/>
    <w:rsid w:val="00BE1013"/>
    <w:rsid w:val="00C81C61"/>
    <w:rsid w:val="00CD0283"/>
    <w:rsid w:val="00DA6F0F"/>
    <w:rsid w:val="00E8319F"/>
    <w:rsid w:val="00EC25D5"/>
    <w:rsid w:val="00ED329D"/>
    <w:rsid w:val="00F52042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3AF2"/>
  <w15:chartTrackingRefBased/>
  <w15:docId w15:val="{89DCFC58-FECC-46A3-9FEB-171AA023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7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7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7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7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7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7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7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7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7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7F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52042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aliases w:val="Обычный (веб),Обычный Маркер,Обычный (веб) Знак Знак1,Знак4,Знак41"/>
    <w:basedOn w:val="a"/>
    <w:uiPriority w:val="99"/>
    <w:unhideWhenUsed/>
    <w:qFormat/>
    <w:rsid w:val="007C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 267</dc:creator>
  <cp:keywords/>
  <dc:description/>
  <cp:lastModifiedBy>Aksaule Tokhabay</cp:lastModifiedBy>
  <cp:revision>7</cp:revision>
  <dcterms:created xsi:type="dcterms:W3CDTF">2026-04-22T09:40:00Z</dcterms:created>
  <dcterms:modified xsi:type="dcterms:W3CDTF">2026-08-14T10:36:00Z</dcterms:modified>
</cp:coreProperties>
</file>