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05E5" w14:textId="77777777" w:rsidR="00691633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4E2C"/>
          <w:sz w:val="30"/>
          <w:szCs w:val="30"/>
        </w:rPr>
        <w:t>Карьер «</w:t>
      </w:r>
      <w:proofErr w:type="spellStart"/>
      <w:r>
        <w:rPr>
          <w:rFonts w:ascii="Calibri" w:eastAsia="Calibri" w:hAnsi="Calibri" w:cs="Calibri"/>
          <w:b/>
          <w:bCs/>
          <w:color w:val="1F4E2C"/>
          <w:sz w:val="30"/>
          <w:szCs w:val="30"/>
        </w:rPr>
        <w:t>Абаил</w:t>
      </w:r>
      <w:proofErr w:type="spellEnd"/>
      <w:r>
        <w:rPr>
          <w:rFonts w:ascii="Calibri" w:eastAsia="Calibri" w:hAnsi="Calibri" w:cs="Calibri"/>
          <w:b/>
          <w:bCs/>
          <w:color w:val="1F4E2C"/>
          <w:sz w:val="30"/>
          <w:szCs w:val="30"/>
        </w:rPr>
        <w:t>»: что означает увеличение добычи для природы и людей</w:t>
      </w:r>
    </w:p>
    <w:p w14:paraId="1D81FE0E" w14:textId="77777777" w:rsidR="00691633" w:rsidRDefault="00000000">
      <w:pPr>
        <w:spacing w:after="200"/>
        <w:jc w:val="center"/>
      </w:pPr>
      <w:r>
        <w:rPr>
          <w:rFonts w:ascii="Calibri" w:eastAsia="Calibri" w:hAnsi="Calibri" w:cs="Calibri"/>
          <w:i/>
          <w:iCs/>
          <w:color w:val="555555"/>
        </w:rPr>
        <w:t>Нетехническое резюме раздела «Охрана окружающей среды» к корректировке Плана горных работ месторождения «</w:t>
      </w:r>
      <w:proofErr w:type="spellStart"/>
      <w:r>
        <w:rPr>
          <w:rFonts w:ascii="Calibri" w:eastAsia="Calibri" w:hAnsi="Calibri" w:cs="Calibri"/>
          <w:i/>
          <w:iCs/>
          <w:color w:val="555555"/>
        </w:rPr>
        <w:t>Абаил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>» (ТОО «</w:t>
      </w:r>
      <w:proofErr w:type="spellStart"/>
      <w:r>
        <w:rPr>
          <w:rFonts w:ascii="Calibri" w:eastAsia="Calibri" w:hAnsi="Calibri" w:cs="Calibri"/>
          <w:i/>
          <w:iCs/>
          <w:color w:val="555555"/>
        </w:rPr>
        <w:t>Шымкентцемент</w:t>
      </w:r>
      <w:proofErr w:type="spellEnd"/>
      <w:r>
        <w:rPr>
          <w:rFonts w:ascii="Calibri" w:eastAsia="Calibri" w:hAnsi="Calibri" w:cs="Calibri"/>
          <w:i/>
          <w:iCs/>
          <w:color w:val="555555"/>
        </w:rPr>
        <w:t>», 2026 г.)</w:t>
      </w:r>
    </w:p>
    <w:p w14:paraId="1EFC2D17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О чём этот документ</w:t>
      </w:r>
    </w:p>
    <w:p w14:paraId="4B5A8234" w14:textId="77777777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Компания «</w:t>
      </w:r>
      <w:proofErr w:type="spellStart"/>
      <w:r>
        <w:rPr>
          <w:rFonts w:ascii="Calibri" w:eastAsia="Calibri" w:hAnsi="Calibri" w:cs="Calibri"/>
          <w:sz w:val="21"/>
          <w:szCs w:val="21"/>
        </w:rPr>
        <w:t>Шымкентцемент</w:t>
      </w:r>
      <w:proofErr w:type="spellEnd"/>
      <w:r>
        <w:rPr>
          <w:rFonts w:ascii="Calibri" w:eastAsia="Calibri" w:hAnsi="Calibri" w:cs="Calibri"/>
          <w:sz w:val="21"/>
          <w:szCs w:val="21"/>
        </w:rPr>
        <w:t>» уже больше 20 лет добывает на месторождении «</w:t>
      </w:r>
      <w:proofErr w:type="spellStart"/>
      <w:r>
        <w:rPr>
          <w:rFonts w:ascii="Calibri" w:eastAsia="Calibri" w:hAnsi="Calibri" w:cs="Calibri"/>
          <w:sz w:val="21"/>
          <w:szCs w:val="21"/>
        </w:rPr>
        <w:t>Абаил</w:t>
      </w:r>
      <w:proofErr w:type="spellEnd"/>
      <w:r>
        <w:rPr>
          <w:rFonts w:ascii="Calibri" w:eastAsia="Calibri" w:hAnsi="Calibri" w:cs="Calibri"/>
          <w:sz w:val="21"/>
          <w:szCs w:val="21"/>
        </w:rPr>
        <w:t>» (Тюлькубасский район Туркестанской области) минеральный пигмент — горную породу, которая используется как красящая добавка при производстве цемента. Сейчас компания планирует не расширять сам карьер, а просто добывать больше материала в пределах уже существующей выработки: с 50 000 до 80 000 тонн в год. Этот документ — простыми словами о том, что показала экологическая оценка такого решения.</w:t>
      </w:r>
    </w:p>
    <w:p w14:paraId="6A41DD3B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Где это находится</w:t>
      </w:r>
    </w:p>
    <w:p w14:paraId="7BD10030" w14:textId="77777777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Карьер расположен в горной местности, в 15 км от железнодорожной станции Тюлькубас и примерно в 80 км от Шымкента. Ближайшее село — Ак-</w:t>
      </w:r>
      <w:proofErr w:type="spellStart"/>
      <w:r>
        <w:rPr>
          <w:rFonts w:ascii="Calibri" w:eastAsia="Calibri" w:hAnsi="Calibri" w:cs="Calibri"/>
          <w:sz w:val="21"/>
          <w:szCs w:val="21"/>
        </w:rPr>
        <w:t>Бийк</w:t>
      </w:r>
      <w:proofErr w:type="spellEnd"/>
      <w:r>
        <w:rPr>
          <w:rFonts w:ascii="Calibri" w:eastAsia="Calibri" w:hAnsi="Calibri" w:cs="Calibri"/>
          <w:sz w:val="21"/>
          <w:szCs w:val="21"/>
        </w:rPr>
        <w:t>, оно находится в 3 км от карьера. Ближайшая река — Арысь, протекает в 3,4 км южнее и не затрагивается работами. На территории самого горного отвода нет почвы, растительности и водоёмов — это скальный участок площадью 4 га.</w:t>
      </w:r>
    </w:p>
    <w:p w14:paraId="1C0136E3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Воздух</w:t>
      </w:r>
    </w:p>
    <w:p w14:paraId="75A36945" w14:textId="77777777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Основной источник воздействия — пыль и выхлопные газы от буровых, взрывных работ, экскаваторов и грузовиков, которые возят породу. Расчёты показали, что непосредственно на территории карьера концентрации отдельных веществ (диоксид азота, угарный газ, пыль) могут превышать санитарные нормы в 1,2–1,3 раза, но это зона, где работает только персонал предприятия — в защитных масках, как того требуют правила безопасности. За пределами карьера, там, где живут люди, превышений не зафиксировано: воздействие не доходит даже близко до села Ак-</w:t>
      </w:r>
      <w:proofErr w:type="spellStart"/>
      <w:r>
        <w:rPr>
          <w:rFonts w:ascii="Calibri" w:eastAsia="Calibri" w:hAnsi="Calibri" w:cs="Calibri"/>
          <w:sz w:val="21"/>
          <w:szCs w:val="21"/>
        </w:rPr>
        <w:t>Бийк</w:t>
      </w:r>
      <w:proofErr w:type="spellEnd"/>
      <w:r>
        <w:rPr>
          <w:rFonts w:ascii="Calibri" w:eastAsia="Calibri" w:hAnsi="Calibri" w:cs="Calibri"/>
          <w:sz w:val="21"/>
          <w:szCs w:val="21"/>
        </w:rPr>
        <w:t>. Вывод авторов оценки — риск для здоровья населения незначительный.</w:t>
      </w:r>
    </w:p>
    <w:p w14:paraId="190A6EDC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Вода</w:t>
      </w:r>
    </w:p>
    <w:p w14:paraId="404BABE3" w14:textId="18500BE2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Карьер не сбрасывает никаких стоков в реки или другие водоёмы — их просто нет поблизости. Подземные воды на месторождении не вскрыты, то есть добыча их не затрагивает. Небольшое количество дождевой и талой воды, которое скапливается в карьере, используется для полива технологических дорог, чтобы прибивать пыль, а не сбрасывается наружу.</w:t>
      </w:r>
    </w:p>
    <w:p w14:paraId="320E059F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Земля, растения и животные</w:t>
      </w:r>
    </w:p>
    <w:p w14:paraId="5EFA7CA7" w14:textId="77777777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Поскольку участок представляет собой скальные выходы породы, почвенного и растительного покрова там изначально нет — соответственно, вырубать и восстанавливать нечего. Редких растений и животных, занесённых в Красную книгу Казахстана, на месторождении не обнаружено. Особо охраняемых природных территорий поблизости также нет. После завершения добычи в 2030 году нарушенные участки будут восстановлены.</w:t>
      </w:r>
    </w:p>
    <w:p w14:paraId="4A8CEEFB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Отходы</w:t>
      </w:r>
    </w:p>
    <w:p w14:paraId="1BB8E4A2" w14:textId="77777777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Основной объём отходов — это порода, которая вскрывается, чтобы добраться до пигмента (около 435 тысяч кубометров за 2026–2030 годы). Она не токсична и складируется в специально отведённом отвале рядом с карьером. Бытовой мусор от персонала (около 1,2 тонны в год) будет вывозиться на полигон по договору со специализированной организацией.</w:t>
      </w:r>
    </w:p>
    <w:p w14:paraId="1F27DF57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Шум, вибрация и аварийные риски</w:t>
      </w:r>
    </w:p>
    <w:p w14:paraId="57AFC0D4" w14:textId="77777777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Шум и вибрация от взрывных работ ограничены территорией самого предприятия и не доходят до жилых домов — расстояние до ближайшего села почти в шесть раз больше, чем безопасная зона взрывов. Тепловое и электромагнитное воздействие отсутствует. Вероятность серьёзной аварии (обрушение борта карьера, отказ взрывчатки, разлив топлива) оценивается как крайне низкая, а возможные последствия — </w:t>
      </w:r>
      <w:r>
        <w:rPr>
          <w:rFonts w:ascii="Calibri" w:eastAsia="Calibri" w:hAnsi="Calibri" w:cs="Calibri"/>
          <w:sz w:val="21"/>
          <w:szCs w:val="21"/>
        </w:rPr>
        <w:lastRenderedPageBreak/>
        <w:t>локальными и устранимыми, при условии соблюдения техники безопасности, которую компания обязана обеспечивать.</w:t>
      </w:r>
    </w:p>
    <w:p w14:paraId="0C857603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Люди и экономика</w:t>
      </w:r>
    </w:p>
    <w:p w14:paraId="770D0144" w14:textId="77777777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Работа карьера сохраняет 16 рабочих мест и обеспечивает сырьём цементный завод в Шымкенте. Прямого негативного влияния на условия жизни населения оценка не выявила.</w:t>
      </w:r>
    </w:p>
    <w:p w14:paraId="48F6860A" w14:textId="77777777" w:rsidR="00691633" w:rsidRDefault="00000000">
      <w:pPr>
        <w:pStyle w:val="1"/>
        <w:spacing w:before="200" w:after="100"/>
      </w:pPr>
      <w:r>
        <w:rPr>
          <w:rFonts w:ascii="Calibri" w:eastAsia="Calibri" w:hAnsi="Calibri" w:cs="Calibri"/>
          <w:b/>
          <w:bCs/>
          <w:color w:val="1F4E2C"/>
          <w:sz w:val="26"/>
          <w:szCs w:val="26"/>
        </w:rPr>
        <w:t>Главный вывод</w:t>
      </w:r>
    </w:p>
    <w:p w14:paraId="3480FCAF" w14:textId="77777777" w:rsidR="00691633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Авторы оценки заключают, что увеличение добычи с 50 до 80 тысяч тонн в год не расширяет границы карьера и не создаёт новых видов воздействия — меняется только объём уже существующей деятельности. При соблюдении всех предусмотренных мер (полив дорог, контроль состояния бортов карьера, средства защиты для персонала, вывоз отходов по графику) воздействие на окружающую среду и здоровье жителей оценивается как незначительное.</w:t>
      </w:r>
    </w:p>
    <w:sectPr w:rsidR="00691633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06636"/>
    <w:multiLevelType w:val="hybridMultilevel"/>
    <w:tmpl w:val="4420CE44"/>
    <w:lvl w:ilvl="0" w:tplc="A2D2BF5C">
      <w:start w:val="1"/>
      <w:numFmt w:val="bullet"/>
      <w:lvlText w:val="●"/>
      <w:lvlJc w:val="left"/>
      <w:pPr>
        <w:ind w:left="720" w:hanging="360"/>
      </w:pPr>
    </w:lvl>
    <w:lvl w:ilvl="1" w:tplc="E5463680">
      <w:start w:val="1"/>
      <w:numFmt w:val="bullet"/>
      <w:lvlText w:val="○"/>
      <w:lvlJc w:val="left"/>
      <w:pPr>
        <w:ind w:left="1440" w:hanging="360"/>
      </w:pPr>
    </w:lvl>
    <w:lvl w:ilvl="2" w:tplc="336ACF56">
      <w:start w:val="1"/>
      <w:numFmt w:val="bullet"/>
      <w:lvlText w:val="■"/>
      <w:lvlJc w:val="left"/>
      <w:pPr>
        <w:ind w:left="2160" w:hanging="360"/>
      </w:pPr>
    </w:lvl>
    <w:lvl w:ilvl="3" w:tplc="ADCE22DE">
      <w:start w:val="1"/>
      <w:numFmt w:val="bullet"/>
      <w:lvlText w:val="●"/>
      <w:lvlJc w:val="left"/>
      <w:pPr>
        <w:ind w:left="2880" w:hanging="360"/>
      </w:pPr>
    </w:lvl>
    <w:lvl w:ilvl="4" w:tplc="2B7A7712">
      <w:start w:val="1"/>
      <w:numFmt w:val="bullet"/>
      <w:lvlText w:val="○"/>
      <w:lvlJc w:val="left"/>
      <w:pPr>
        <w:ind w:left="3600" w:hanging="360"/>
      </w:pPr>
    </w:lvl>
    <w:lvl w:ilvl="5" w:tplc="4F888088">
      <w:start w:val="1"/>
      <w:numFmt w:val="bullet"/>
      <w:lvlText w:val="■"/>
      <w:lvlJc w:val="left"/>
      <w:pPr>
        <w:ind w:left="4320" w:hanging="360"/>
      </w:pPr>
    </w:lvl>
    <w:lvl w:ilvl="6" w:tplc="517EB8B8">
      <w:start w:val="1"/>
      <w:numFmt w:val="bullet"/>
      <w:lvlText w:val="●"/>
      <w:lvlJc w:val="left"/>
      <w:pPr>
        <w:ind w:left="5040" w:hanging="360"/>
      </w:pPr>
    </w:lvl>
    <w:lvl w:ilvl="7" w:tplc="E2DCD21C">
      <w:start w:val="1"/>
      <w:numFmt w:val="bullet"/>
      <w:lvlText w:val="●"/>
      <w:lvlJc w:val="left"/>
      <w:pPr>
        <w:ind w:left="5760" w:hanging="360"/>
      </w:pPr>
    </w:lvl>
    <w:lvl w:ilvl="8" w:tplc="3B22F292">
      <w:start w:val="1"/>
      <w:numFmt w:val="bullet"/>
      <w:lvlText w:val="●"/>
      <w:lvlJc w:val="left"/>
      <w:pPr>
        <w:ind w:left="6480" w:hanging="360"/>
      </w:pPr>
    </w:lvl>
  </w:abstractNum>
  <w:num w:numId="1" w16cid:durableId="17634547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33"/>
    <w:rsid w:val="00691633"/>
    <w:rsid w:val="009B0689"/>
    <w:rsid w:val="00AD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F259"/>
  <w15:docId w15:val="{6FF2FEC2-AE78-484D-A727-3B8A4122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Bektas Nurumbetov</cp:lastModifiedBy>
  <cp:revision>2</cp:revision>
  <dcterms:created xsi:type="dcterms:W3CDTF">2026-08-18T04:48:00Z</dcterms:created>
  <dcterms:modified xsi:type="dcterms:W3CDTF">2026-08-18T04:48:00Z</dcterms:modified>
</cp:coreProperties>
</file>