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C916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38A93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F3FE42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4F6483D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1D0F86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C80E94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006FA0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B5DDB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95AC7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AC49F7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1F476D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46FC6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41C6A4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CA64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F48635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617C4E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BC990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AD974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525D98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FB817A" w14:textId="77777777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6A5BBA" w14:textId="28DD61BE" w:rsid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14C8">
        <w:rPr>
          <w:rFonts w:ascii="Times New Roman" w:hAnsi="Times New Roman" w:cs="Times New Roman"/>
          <w:b/>
          <w:sz w:val="28"/>
          <w:szCs w:val="28"/>
        </w:rPr>
        <w:t>КРАТКОЕ НЕТЕХНИЧЕСКОЕ РЕЗЮМЕ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F75AFE6" w14:textId="4D389300" w:rsidR="00FC14C8" w:rsidRPr="00FC14C8" w:rsidRDefault="00FC14C8" w:rsidP="00FC14C8">
      <w:pPr>
        <w:pStyle w:val="ad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ТОО «</w:t>
      </w:r>
      <w:proofErr w:type="spellStart"/>
      <w:r w:rsidR="00B0584A" w:rsidRPr="00B0584A">
        <w:rPr>
          <w:rFonts w:ascii="Times New Roman" w:hAnsi="Times New Roman" w:cs="Times New Roman"/>
          <w:b/>
          <w:sz w:val="28"/>
          <w:szCs w:val="28"/>
        </w:rPr>
        <w:t>Qazaq</w:t>
      </w:r>
      <w:proofErr w:type="spellEnd"/>
      <w:r w:rsidR="00B0584A" w:rsidRPr="00B058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0584A" w:rsidRPr="00B0584A">
        <w:rPr>
          <w:rFonts w:ascii="Times New Roman" w:hAnsi="Times New Roman" w:cs="Times New Roman"/>
          <w:b/>
          <w:sz w:val="28"/>
          <w:szCs w:val="28"/>
        </w:rPr>
        <w:t>Kaolin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», МЕСТОРОЖДЕНИЕ </w:t>
      </w:r>
      <w:r w:rsidR="00B0584A">
        <w:rPr>
          <w:rFonts w:ascii="Times New Roman" w:hAnsi="Times New Roman" w:cs="Times New Roman"/>
          <w:b/>
          <w:sz w:val="28"/>
          <w:szCs w:val="28"/>
        </w:rPr>
        <w:t>«АЛЕКСЕЕВСКОЕ»</w:t>
      </w:r>
    </w:p>
    <w:p w14:paraId="30E9D123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3B16068" w14:textId="77777777" w:rsidR="00FC14C8" w:rsidRDefault="00FC14C8">
      <w:pPr>
        <w:spacing w:after="0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1509099A" w14:textId="0C4DE75C" w:rsidR="00FC14C8" w:rsidRPr="00545177" w:rsidRDefault="00FC14C8" w:rsidP="00FC14C8">
      <w:pPr>
        <w:pStyle w:val="ad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lastRenderedPageBreak/>
        <w:t>1. Описание предполагаемого места осуществления намечаемой деятельности, план с изображением его границ</w:t>
      </w:r>
    </w:p>
    <w:p w14:paraId="2D9B4757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В административном отношении месторождение первичных каолинов «Алексеевское» расположено на территории Зерендинского района Акмолинской области, в 22 км северо-северо-западнее г. Кокшетау.</w:t>
      </w:r>
    </w:p>
    <w:p w14:paraId="390C8D8D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 xml:space="preserve">Ближайший населенный пункт - поселок </w:t>
      </w:r>
      <w:proofErr w:type="spellStart"/>
      <w:r w:rsidRPr="00B0584A">
        <w:rPr>
          <w:rFonts w:ascii="Times New Roman" w:hAnsi="Times New Roman" w:cs="Times New Roman"/>
          <w:sz w:val="28"/>
          <w:szCs w:val="28"/>
        </w:rPr>
        <w:t>Бирлестик</w:t>
      </w:r>
      <w:proofErr w:type="spellEnd"/>
      <w:r w:rsidRPr="00B0584A">
        <w:rPr>
          <w:rFonts w:ascii="Times New Roman" w:hAnsi="Times New Roman" w:cs="Times New Roman"/>
          <w:sz w:val="28"/>
          <w:szCs w:val="28"/>
        </w:rPr>
        <w:t>, находится в 3 км на северо-запад от месторождения.</w:t>
      </w:r>
    </w:p>
    <w:p w14:paraId="319F35DC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Ближайший водный объект – река Чаглинка расположенное в 9,5 км южнее от месторождения «Алексеевское».</w:t>
      </w:r>
    </w:p>
    <w:p w14:paraId="43E21861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Месторождение находится в 19 км к юго-западу от ближайшей к месторождению железнодорожной станции Азат (</w:t>
      </w:r>
      <w:proofErr w:type="spellStart"/>
      <w:r w:rsidRPr="00B0584A">
        <w:rPr>
          <w:rFonts w:ascii="Times New Roman" w:hAnsi="Times New Roman" w:cs="Times New Roman"/>
          <w:sz w:val="28"/>
          <w:szCs w:val="28"/>
        </w:rPr>
        <w:t>ж.д</w:t>
      </w:r>
      <w:proofErr w:type="spellEnd"/>
      <w:r w:rsidRPr="00B0584A">
        <w:rPr>
          <w:rFonts w:ascii="Times New Roman" w:hAnsi="Times New Roman" w:cs="Times New Roman"/>
          <w:sz w:val="28"/>
          <w:szCs w:val="28"/>
        </w:rPr>
        <w:t>. Нур-Султан-Петропавловск).</w:t>
      </w:r>
    </w:p>
    <w:p w14:paraId="53CE2AD0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В 2022 году был согласован проект Раздел "Охраны окружающей среды" к плану горных работ на добычу первичных каолинов месторождения «Алексеевское» Зерендинского района Акмолинской области (ЭРВ №: KZ70VCZ01895869 от 06.09.2022 г.).</w:t>
      </w:r>
    </w:p>
    <w:p w14:paraId="274D44C8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В связи с отсутствием существенных изменений деятельности объекта проводится экологическая оценка по упрощенному порядку.</w:t>
      </w:r>
    </w:p>
    <w:p w14:paraId="5A54709D" w14:textId="77777777" w:rsidR="00B0584A" w:rsidRPr="00B0584A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 xml:space="preserve">В границах территории месторождения исторические памятники, археологические памятники культуры отсутствуют. </w:t>
      </w:r>
    </w:p>
    <w:p w14:paraId="2D044100" w14:textId="74712D92" w:rsidR="00FC14C8" w:rsidRPr="00545177" w:rsidRDefault="00B0584A" w:rsidP="00B0584A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В случае обнаружения объектов историко-культурного наследия, в соответствии со статьей 30 Закона Республики Казахстан «Об охране и использовании историко-культурного наследия» обязаны поставить в известность КГУ «Центр по охране и использованию историко-культурного наследия» в месячный срок.</w:t>
      </w:r>
    </w:p>
    <w:p w14:paraId="173E5666" w14:textId="77777777" w:rsidR="00FC14C8" w:rsidRPr="00545177" w:rsidRDefault="00FC14C8" w:rsidP="00FC14C8">
      <w:pPr>
        <w:spacing w:after="0"/>
        <w:ind w:firstLine="709"/>
        <w:rPr>
          <w:rFonts w:ascii="Times New Roman" w:eastAsia="Arial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Arial" w:hAnsi="Times New Roman" w:cs="Times New Roman"/>
          <w:sz w:val="28"/>
          <w:szCs w:val="28"/>
          <w:lang w:eastAsia="ar-SA"/>
        </w:rPr>
        <w:t>Обзорная карта района работ представлена на рисунке 1.</w:t>
      </w:r>
    </w:p>
    <w:p w14:paraId="4D853FC6" w14:textId="77777777" w:rsidR="00FC14C8" w:rsidRPr="00545177" w:rsidRDefault="00FC14C8" w:rsidP="00FC14C8">
      <w:pPr>
        <w:widowControl w:val="0"/>
        <w:autoSpaceDE w:val="0"/>
        <w:spacing w:after="0"/>
        <w:ind w:firstLine="709"/>
        <w:jc w:val="lef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Координаты угловых точек лицензионной территории приведены в таблице 1.</w:t>
      </w:r>
    </w:p>
    <w:p w14:paraId="0BEC7C07" w14:textId="77777777" w:rsidR="00FC14C8" w:rsidRPr="00545177" w:rsidRDefault="00FC14C8" w:rsidP="00FC14C8">
      <w:pPr>
        <w:widowControl w:val="0"/>
        <w:autoSpaceDE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Таблица 1</w:t>
      </w:r>
    </w:p>
    <w:p w14:paraId="0A5EDE01" w14:textId="77777777" w:rsidR="00FC14C8" w:rsidRPr="00545177" w:rsidRDefault="00FC14C8" w:rsidP="00FC14C8">
      <w:pPr>
        <w:widowControl w:val="0"/>
        <w:autoSpaceDE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Географические координаты угловых точек лицензионной территории в системе координат СК-1942</w:t>
      </w:r>
    </w:p>
    <w:p w14:paraId="74778E72" w14:textId="77777777" w:rsidR="00FC14C8" w:rsidRPr="00545177" w:rsidRDefault="00FC14C8" w:rsidP="00FC14C8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101"/>
        <w:tblW w:w="5000" w:type="pct"/>
        <w:jc w:val="center"/>
        <w:tblLook w:val="04A0" w:firstRow="1" w:lastRow="0" w:firstColumn="1" w:lastColumn="0" w:noHBand="0" w:noVBand="1"/>
      </w:tblPr>
      <w:tblGrid>
        <w:gridCol w:w="1960"/>
        <w:gridCol w:w="2463"/>
        <w:gridCol w:w="2463"/>
        <w:gridCol w:w="2463"/>
      </w:tblGrid>
      <w:tr w:rsidR="00B0584A" w:rsidRPr="003F4B63" w14:paraId="4B868E18" w14:textId="77777777" w:rsidTr="002232DE">
        <w:trPr>
          <w:tblHeader/>
          <w:jc w:val="center"/>
        </w:trPr>
        <w:tc>
          <w:tcPr>
            <w:tcW w:w="1049" w:type="pct"/>
            <w:tcBorders>
              <w:top w:val="single" w:sz="4" w:space="0" w:color="auto"/>
            </w:tcBorders>
            <w:vAlign w:val="center"/>
          </w:tcPr>
          <w:p w14:paraId="47B2B2F3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sz w:val="24"/>
                <w:szCs w:val="24"/>
                <w:lang w:eastAsia="ar-SA"/>
              </w:rPr>
              <w:t>Угловые точки</w:t>
            </w:r>
          </w:p>
        </w:tc>
        <w:tc>
          <w:tcPr>
            <w:tcW w:w="1317" w:type="pct"/>
            <w:tcBorders>
              <w:top w:val="single" w:sz="4" w:space="0" w:color="auto"/>
            </w:tcBorders>
            <w:vAlign w:val="center"/>
          </w:tcPr>
          <w:p w14:paraId="2D87E0C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ar-SA"/>
              </w:rPr>
            </w:pPr>
            <w:r w:rsidRPr="003F4B63">
              <w:rPr>
                <w:sz w:val="24"/>
                <w:szCs w:val="24"/>
                <w:lang w:eastAsia="ar-SA"/>
              </w:rPr>
              <w:t>Сев. широта</w:t>
            </w:r>
          </w:p>
        </w:tc>
        <w:tc>
          <w:tcPr>
            <w:tcW w:w="1317" w:type="pct"/>
            <w:vAlign w:val="center"/>
          </w:tcPr>
          <w:p w14:paraId="50C71D97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ar-SA"/>
              </w:rPr>
            </w:pPr>
            <w:r w:rsidRPr="003F4B63">
              <w:rPr>
                <w:sz w:val="24"/>
                <w:szCs w:val="24"/>
                <w:lang w:eastAsia="ar-SA"/>
              </w:rPr>
              <w:t>Вост. долгота</w:t>
            </w:r>
          </w:p>
        </w:tc>
        <w:tc>
          <w:tcPr>
            <w:tcW w:w="1317" w:type="pct"/>
            <w:vAlign w:val="center"/>
          </w:tcPr>
          <w:p w14:paraId="01C707E5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ar-SA"/>
              </w:rPr>
            </w:pPr>
            <w:r w:rsidRPr="003F4B63">
              <w:rPr>
                <w:sz w:val="24"/>
                <w:szCs w:val="24"/>
                <w:lang w:eastAsia="ar-SA"/>
              </w:rPr>
              <w:t>Площадь, км</w:t>
            </w:r>
            <w:r w:rsidRPr="003F4B63">
              <w:rPr>
                <w:sz w:val="24"/>
                <w:szCs w:val="24"/>
                <w:vertAlign w:val="superscript"/>
                <w:lang w:eastAsia="ar-SA"/>
              </w:rPr>
              <w:t>2</w:t>
            </w:r>
            <w:r w:rsidRPr="003F4B63">
              <w:rPr>
                <w:sz w:val="24"/>
                <w:szCs w:val="24"/>
                <w:lang w:eastAsia="ar-SA"/>
              </w:rPr>
              <w:t xml:space="preserve"> (га)</w:t>
            </w:r>
          </w:p>
        </w:tc>
      </w:tr>
      <w:tr w:rsidR="00B0584A" w:rsidRPr="003F4B63" w14:paraId="2FD0FB45" w14:textId="77777777" w:rsidTr="002232DE">
        <w:trPr>
          <w:trHeight w:val="307"/>
          <w:jc w:val="center"/>
        </w:trPr>
        <w:tc>
          <w:tcPr>
            <w:tcW w:w="1049" w:type="pct"/>
            <w:vAlign w:val="center"/>
          </w:tcPr>
          <w:p w14:paraId="04060784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317" w:type="pct"/>
            <w:vAlign w:val="center"/>
          </w:tcPr>
          <w:p w14:paraId="765B006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11,78′′</w:t>
            </w:r>
          </w:p>
        </w:tc>
        <w:tc>
          <w:tcPr>
            <w:tcW w:w="1317" w:type="pct"/>
            <w:vAlign w:val="center"/>
          </w:tcPr>
          <w:p w14:paraId="1C2C85FB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14′ 40,54′′</w:t>
            </w:r>
          </w:p>
        </w:tc>
        <w:tc>
          <w:tcPr>
            <w:tcW w:w="1317" w:type="pct"/>
            <w:vMerge w:val="restart"/>
            <w:vAlign w:val="center"/>
          </w:tcPr>
          <w:p w14:paraId="731CB823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2,05 (205)</w:t>
            </w:r>
          </w:p>
        </w:tc>
      </w:tr>
      <w:tr w:rsidR="00B0584A" w:rsidRPr="003F4B63" w14:paraId="7BE7B279" w14:textId="77777777" w:rsidTr="002232DE">
        <w:trPr>
          <w:jc w:val="center"/>
        </w:trPr>
        <w:tc>
          <w:tcPr>
            <w:tcW w:w="1049" w:type="pct"/>
            <w:vAlign w:val="center"/>
          </w:tcPr>
          <w:p w14:paraId="7F4456E9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317" w:type="pct"/>
            <w:vAlign w:val="center"/>
          </w:tcPr>
          <w:p w14:paraId="7BC7287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32,38′′</w:t>
            </w:r>
          </w:p>
        </w:tc>
        <w:tc>
          <w:tcPr>
            <w:tcW w:w="1317" w:type="pct"/>
            <w:vAlign w:val="center"/>
          </w:tcPr>
          <w:p w14:paraId="22687F4D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14′ 40,64′′</w:t>
            </w:r>
          </w:p>
        </w:tc>
        <w:tc>
          <w:tcPr>
            <w:tcW w:w="1317" w:type="pct"/>
            <w:vMerge/>
            <w:vAlign w:val="center"/>
          </w:tcPr>
          <w:p w14:paraId="1DE8829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6955F268" w14:textId="77777777" w:rsidTr="002232DE">
        <w:trPr>
          <w:jc w:val="center"/>
        </w:trPr>
        <w:tc>
          <w:tcPr>
            <w:tcW w:w="1049" w:type="pct"/>
            <w:vAlign w:val="center"/>
          </w:tcPr>
          <w:p w14:paraId="02B6CC50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317" w:type="pct"/>
            <w:vAlign w:val="center"/>
          </w:tcPr>
          <w:p w14:paraId="39C8D262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34,38′′</w:t>
            </w:r>
          </w:p>
        </w:tc>
        <w:tc>
          <w:tcPr>
            <w:tcW w:w="1317" w:type="pct"/>
            <w:vAlign w:val="center"/>
          </w:tcPr>
          <w:p w14:paraId="683BD1B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14′ 56,94′′</w:t>
            </w:r>
          </w:p>
        </w:tc>
        <w:tc>
          <w:tcPr>
            <w:tcW w:w="1317" w:type="pct"/>
            <w:vMerge/>
            <w:vAlign w:val="center"/>
          </w:tcPr>
          <w:p w14:paraId="59E961B3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0A124ADE" w14:textId="77777777" w:rsidTr="002232DE">
        <w:trPr>
          <w:jc w:val="center"/>
        </w:trPr>
        <w:tc>
          <w:tcPr>
            <w:tcW w:w="1049" w:type="pct"/>
            <w:vAlign w:val="center"/>
          </w:tcPr>
          <w:p w14:paraId="21416C94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1317" w:type="pct"/>
            <w:vAlign w:val="center"/>
          </w:tcPr>
          <w:p w14:paraId="65EF39B6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47,08′′</w:t>
            </w:r>
          </w:p>
        </w:tc>
        <w:tc>
          <w:tcPr>
            <w:tcW w:w="1317" w:type="pct"/>
            <w:vAlign w:val="center"/>
          </w:tcPr>
          <w:p w14:paraId="2585F40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14′ 56,94′′</w:t>
            </w:r>
          </w:p>
        </w:tc>
        <w:tc>
          <w:tcPr>
            <w:tcW w:w="1317" w:type="pct"/>
            <w:vMerge/>
            <w:vAlign w:val="center"/>
          </w:tcPr>
          <w:p w14:paraId="1EF07702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7D1B473D" w14:textId="77777777" w:rsidTr="002232DE">
        <w:trPr>
          <w:jc w:val="center"/>
        </w:trPr>
        <w:tc>
          <w:tcPr>
            <w:tcW w:w="1049" w:type="pct"/>
            <w:vAlign w:val="center"/>
          </w:tcPr>
          <w:p w14:paraId="7ACED08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1317" w:type="pct"/>
            <w:vAlign w:val="center"/>
          </w:tcPr>
          <w:p w14:paraId="6B22DFD9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50,98′′</w:t>
            </w:r>
          </w:p>
        </w:tc>
        <w:tc>
          <w:tcPr>
            <w:tcW w:w="1317" w:type="pct"/>
            <w:vAlign w:val="center"/>
          </w:tcPr>
          <w:p w14:paraId="33F27E25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15′ 26,34′′</w:t>
            </w:r>
          </w:p>
        </w:tc>
        <w:tc>
          <w:tcPr>
            <w:tcW w:w="1317" w:type="pct"/>
            <w:vMerge/>
            <w:vAlign w:val="center"/>
          </w:tcPr>
          <w:p w14:paraId="78DE2416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41DDB264" w14:textId="77777777" w:rsidTr="002232DE">
        <w:trPr>
          <w:jc w:val="center"/>
        </w:trPr>
        <w:tc>
          <w:tcPr>
            <w:tcW w:w="1049" w:type="pct"/>
            <w:vAlign w:val="center"/>
          </w:tcPr>
          <w:p w14:paraId="1A88FB0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</w:t>
            </w:r>
          </w:p>
        </w:tc>
        <w:tc>
          <w:tcPr>
            <w:tcW w:w="1317" w:type="pct"/>
            <w:vAlign w:val="center"/>
          </w:tcPr>
          <w:p w14:paraId="1414005C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50,98′′</w:t>
            </w:r>
          </w:p>
        </w:tc>
        <w:tc>
          <w:tcPr>
            <w:tcW w:w="1317" w:type="pct"/>
            <w:vAlign w:val="center"/>
          </w:tcPr>
          <w:p w14:paraId="5E5E8CB5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15′ 36,14′′</w:t>
            </w:r>
          </w:p>
        </w:tc>
        <w:tc>
          <w:tcPr>
            <w:tcW w:w="1317" w:type="pct"/>
            <w:vMerge/>
            <w:vAlign w:val="center"/>
          </w:tcPr>
          <w:p w14:paraId="6C48D9F0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43B3C0D4" w14:textId="77777777" w:rsidTr="002232DE">
        <w:trPr>
          <w:jc w:val="center"/>
        </w:trPr>
        <w:tc>
          <w:tcPr>
            <w:tcW w:w="1049" w:type="pct"/>
            <w:vAlign w:val="center"/>
          </w:tcPr>
          <w:p w14:paraId="711176E0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7</w:t>
            </w:r>
          </w:p>
        </w:tc>
        <w:tc>
          <w:tcPr>
            <w:tcW w:w="1317" w:type="pct"/>
            <w:vAlign w:val="center"/>
          </w:tcPr>
          <w:p w14:paraId="460A5354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50,18′′</w:t>
            </w:r>
          </w:p>
        </w:tc>
        <w:tc>
          <w:tcPr>
            <w:tcW w:w="1317" w:type="pct"/>
            <w:vAlign w:val="center"/>
          </w:tcPr>
          <w:p w14:paraId="152BA359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15′ 38,24′′</w:t>
            </w:r>
          </w:p>
        </w:tc>
        <w:tc>
          <w:tcPr>
            <w:tcW w:w="1317" w:type="pct"/>
            <w:vMerge/>
            <w:vAlign w:val="center"/>
          </w:tcPr>
          <w:p w14:paraId="46263B0A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3484C091" w14:textId="77777777" w:rsidTr="002232DE">
        <w:trPr>
          <w:jc w:val="center"/>
        </w:trPr>
        <w:tc>
          <w:tcPr>
            <w:tcW w:w="1049" w:type="pct"/>
            <w:vAlign w:val="center"/>
          </w:tcPr>
          <w:p w14:paraId="61F968D2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lastRenderedPageBreak/>
              <w:t>8</w:t>
            </w:r>
          </w:p>
        </w:tc>
        <w:tc>
          <w:tcPr>
            <w:tcW w:w="1317" w:type="pct"/>
            <w:vAlign w:val="center"/>
          </w:tcPr>
          <w:p w14:paraId="3837180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50,18′′</w:t>
            </w:r>
          </w:p>
        </w:tc>
        <w:tc>
          <w:tcPr>
            <w:tcW w:w="1317" w:type="pct"/>
            <w:vAlign w:val="center"/>
          </w:tcPr>
          <w:p w14:paraId="34A1B94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16′ 17,84′′</w:t>
            </w:r>
          </w:p>
        </w:tc>
        <w:tc>
          <w:tcPr>
            <w:tcW w:w="1317" w:type="pct"/>
            <w:vMerge/>
            <w:vAlign w:val="center"/>
          </w:tcPr>
          <w:p w14:paraId="3B4DD8D9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310DE8D7" w14:textId="77777777" w:rsidTr="002232DE">
        <w:trPr>
          <w:jc w:val="center"/>
        </w:trPr>
        <w:tc>
          <w:tcPr>
            <w:tcW w:w="1049" w:type="pct"/>
            <w:vAlign w:val="center"/>
          </w:tcPr>
          <w:p w14:paraId="63DC5C4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317" w:type="pct"/>
            <w:vAlign w:val="center"/>
          </w:tcPr>
          <w:p w14:paraId="17CE102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41,38′′</w:t>
            </w:r>
          </w:p>
        </w:tc>
        <w:tc>
          <w:tcPr>
            <w:tcW w:w="1317" w:type="pct"/>
            <w:vAlign w:val="center"/>
          </w:tcPr>
          <w:p w14:paraId="574F6124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16′ 29,14′′</w:t>
            </w:r>
          </w:p>
        </w:tc>
        <w:tc>
          <w:tcPr>
            <w:tcW w:w="1317" w:type="pct"/>
            <w:vMerge/>
            <w:vAlign w:val="center"/>
          </w:tcPr>
          <w:p w14:paraId="1B4E9745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2B1F7477" w14:textId="77777777" w:rsidTr="002232DE">
        <w:trPr>
          <w:jc w:val="center"/>
        </w:trPr>
        <w:tc>
          <w:tcPr>
            <w:tcW w:w="1049" w:type="pct"/>
            <w:vAlign w:val="center"/>
          </w:tcPr>
          <w:p w14:paraId="7DAA5179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10</w:t>
            </w:r>
          </w:p>
        </w:tc>
        <w:tc>
          <w:tcPr>
            <w:tcW w:w="1317" w:type="pct"/>
            <w:vAlign w:val="center"/>
          </w:tcPr>
          <w:p w14:paraId="0A049934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26,98′′</w:t>
            </w:r>
          </w:p>
        </w:tc>
        <w:tc>
          <w:tcPr>
            <w:tcW w:w="1317" w:type="pct"/>
            <w:vAlign w:val="center"/>
          </w:tcPr>
          <w:p w14:paraId="6D76184F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16′ 30,84′′</w:t>
            </w:r>
          </w:p>
        </w:tc>
        <w:tc>
          <w:tcPr>
            <w:tcW w:w="1317" w:type="pct"/>
            <w:vMerge/>
            <w:vAlign w:val="center"/>
          </w:tcPr>
          <w:p w14:paraId="668F864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49EAC4EF" w14:textId="77777777" w:rsidTr="002232DE">
        <w:trPr>
          <w:jc w:val="center"/>
        </w:trPr>
        <w:tc>
          <w:tcPr>
            <w:tcW w:w="1049" w:type="pct"/>
            <w:vAlign w:val="center"/>
          </w:tcPr>
          <w:p w14:paraId="70C3B9D1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11</w:t>
            </w:r>
          </w:p>
        </w:tc>
        <w:tc>
          <w:tcPr>
            <w:tcW w:w="1317" w:type="pct"/>
            <w:vAlign w:val="center"/>
          </w:tcPr>
          <w:p w14:paraId="1FBC76CC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17,68′′</w:t>
            </w:r>
          </w:p>
        </w:tc>
        <w:tc>
          <w:tcPr>
            <w:tcW w:w="1317" w:type="pct"/>
            <w:vAlign w:val="center"/>
          </w:tcPr>
          <w:p w14:paraId="1C262AEE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16′ 11,74′′</w:t>
            </w:r>
          </w:p>
        </w:tc>
        <w:tc>
          <w:tcPr>
            <w:tcW w:w="1317" w:type="pct"/>
            <w:vMerge/>
            <w:vAlign w:val="center"/>
          </w:tcPr>
          <w:p w14:paraId="7F49B67D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01AD6C8C" w14:textId="77777777" w:rsidTr="002232DE">
        <w:trPr>
          <w:jc w:val="center"/>
        </w:trPr>
        <w:tc>
          <w:tcPr>
            <w:tcW w:w="1049" w:type="pct"/>
            <w:vAlign w:val="center"/>
          </w:tcPr>
          <w:p w14:paraId="4E91D17A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12</w:t>
            </w:r>
          </w:p>
        </w:tc>
        <w:tc>
          <w:tcPr>
            <w:tcW w:w="1317" w:type="pct"/>
            <w:vAlign w:val="center"/>
          </w:tcPr>
          <w:p w14:paraId="4B1E0831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53º 30′ 11,68′′</w:t>
            </w:r>
          </w:p>
        </w:tc>
        <w:tc>
          <w:tcPr>
            <w:tcW w:w="1317" w:type="pct"/>
            <w:vAlign w:val="center"/>
          </w:tcPr>
          <w:p w14:paraId="5A2D159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69º 15′ 50,84′′</w:t>
            </w:r>
          </w:p>
        </w:tc>
        <w:tc>
          <w:tcPr>
            <w:tcW w:w="1317" w:type="pct"/>
            <w:vMerge/>
            <w:vAlign w:val="center"/>
          </w:tcPr>
          <w:p w14:paraId="0EA2413D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</w:p>
        </w:tc>
      </w:tr>
      <w:tr w:rsidR="00B0584A" w:rsidRPr="003F4B63" w14:paraId="29AF6672" w14:textId="77777777" w:rsidTr="002232DE">
        <w:trPr>
          <w:jc w:val="center"/>
        </w:trPr>
        <w:tc>
          <w:tcPr>
            <w:tcW w:w="1049" w:type="pct"/>
            <w:vAlign w:val="center"/>
          </w:tcPr>
          <w:p w14:paraId="7529F0DA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ind w:right="-2"/>
              <w:jc w:val="center"/>
              <w:textAlignment w:val="baseline"/>
              <w:rPr>
                <w:rFonts w:eastAsia="Batang"/>
                <w:sz w:val="24"/>
                <w:szCs w:val="24"/>
                <w:lang w:eastAsia="ko-KR"/>
              </w:rPr>
            </w:pPr>
            <w:r w:rsidRPr="003F4B63">
              <w:rPr>
                <w:rFonts w:eastAsia="Batang"/>
                <w:sz w:val="24"/>
                <w:szCs w:val="24"/>
                <w:lang w:eastAsia="ko-KR"/>
              </w:rPr>
              <w:t>Центр</w:t>
            </w:r>
          </w:p>
        </w:tc>
        <w:tc>
          <w:tcPr>
            <w:tcW w:w="1317" w:type="pct"/>
            <w:vAlign w:val="center"/>
          </w:tcPr>
          <w:p w14:paraId="6509CBAA" w14:textId="77777777" w:rsidR="00B0584A" w:rsidRPr="003F4B63" w:rsidRDefault="00B0584A" w:rsidP="002232DE">
            <w:pPr>
              <w:widowControl w:val="0"/>
              <w:autoSpaceDE w:val="0"/>
              <w:rPr>
                <w:sz w:val="24"/>
                <w:szCs w:val="24"/>
                <w:lang w:eastAsia="ar-SA"/>
              </w:rPr>
            </w:pPr>
            <w:r w:rsidRPr="003F4B63">
              <w:rPr>
                <w:sz w:val="24"/>
                <w:szCs w:val="24"/>
                <w:lang w:eastAsia="ar-SA"/>
              </w:rPr>
              <w:t>53º 30′ 31,28′′</w:t>
            </w:r>
          </w:p>
        </w:tc>
        <w:tc>
          <w:tcPr>
            <w:tcW w:w="1317" w:type="pct"/>
            <w:vAlign w:val="center"/>
          </w:tcPr>
          <w:p w14:paraId="43D71BE3" w14:textId="77777777" w:rsidR="00B0584A" w:rsidRPr="003F4B63" w:rsidRDefault="00B0584A" w:rsidP="002232DE">
            <w:pPr>
              <w:widowControl w:val="0"/>
              <w:autoSpaceDE w:val="0"/>
              <w:rPr>
                <w:sz w:val="24"/>
                <w:szCs w:val="24"/>
                <w:lang w:eastAsia="ar-SA"/>
              </w:rPr>
            </w:pPr>
            <w:r w:rsidRPr="003F4B63">
              <w:rPr>
                <w:sz w:val="24"/>
                <w:szCs w:val="24"/>
                <w:lang w:eastAsia="ar-SA"/>
              </w:rPr>
              <w:t>69º 15′ 35,74′′</w:t>
            </w:r>
          </w:p>
        </w:tc>
        <w:tc>
          <w:tcPr>
            <w:tcW w:w="1317" w:type="pct"/>
            <w:vMerge/>
            <w:vAlign w:val="center"/>
          </w:tcPr>
          <w:p w14:paraId="2E55B938" w14:textId="77777777" w:rsidR="00B0584A" w:rsidRPr="003F4B63" w:rsidRDefault="00B0584A" w:rsidP="002232D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  <w:lang w:eastAsia="zh-CN"/>
              </w:rPr>
            </w:pPr>
          </w:p>
        </w:tc>
      </w:tr>
    </w:tbl>
    <w:p w14:paraId="446E1410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4E048DFE" w14:textId="2B88C2BD" w:rsidR="00FC14C8" w:rsidRPr="00545177" w:rsidRDefault="00B0584A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0584A">
        <w:rPr>
          <w:rStyle w:val="FontStyle228"/>
          <w:rFonts w:ascii="Times New Roman" w:hAnsi="Times New Roman" w:cs="Times New Roman"/>
          <w:sz w:val="28"/>
          <w:szCs w:val="28"/>
        </w:rPr>
        <w:t>На месторождении первичных каолинов «Алексеевское» ранее проводились добычные работы. Месторождение вскрыто одним вскрышным +246м и двумя добычными горизонтами +240м, +235,4м, горизонт +235,4м затоплен осадочными водами. Высота вскрышного уступа составляет в среднем 4 м, добычного уступа – 6 м.</w:t>
      </w:r>
    </w:p>
    <w:p w14:paraId="1FC81D7F" w14:textId="77777777" w:rsidR="00FC14C8" w:rsidRPr="00545177" w:rsidRDefault="00FC14C8" w:rsidP="00FC14C8">
      <w:pPr>
        <w:widowControl w:val="0"/>
        <w:suppressAutoHyphens/>
        <w:autoSpaceDE w:val="0"/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B204AE8" w14:textId="77777777" w:rsidR="00FC14C8" w:rsidRPr="00545177" w:rsidRDefault="00FC14C8" w:rsidP="00FC14C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E681D9" w14:textId="77777777" w:rsidR="00FC14C8" w:rsidRPr="00545177" w:rsidRDefault="00FC14C8" w:rsidP="00FC14C8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545177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261013F6" w14:textId="77777777" w:rsidR="00FC14C8" w:rsidRPr="00545177" w:rsidRDefault="00FC14C8" w:rsidP="00FC14C8">
      <w:pPr>
        <w:spacing w:after="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</w:rPr>
      </w:pPr>
      <w:r w:rsidRPr="0054517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Обзорная карта района работ</w:t>
      </w:r>
    </w:p>
    <w:p w14:paraId="51DA8BB3" w14:textId="15378B01" w:rsidR="00FC14C8" w:rsidRPr="00545177" w:rsidRDefault="00FC14C8" w:rsidP="00FC14C8">
      <w:pPr>
        <w:suppressAutoHyphens/>
        <w:overflowPunct w:val="0"/>
        <w:autoSpaceDE w:val="0"/>
        <w:autoSpaceDN w:val="0"/>
        <w:adjustRightInd w:val="0"/>
        <w:spacing w:after="0"/>
        <w:ind w:firstLine="142"/>
        <w:jc w:val="center"/>
        <w:textAlignment w:val="baseline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177">
        <w:rPr>
          <w:rFonts w:ascii="Times New Roman" w:eastAsia="Times New Roman" w:hAnsi="Times New Roman" w:cs="Times New Roman"/>
          <w:b/>
          <w:sz w:val="26"/>
          <w:szCs w:val="26"/>
        </w:rPr>
        <w:t>Масштаб 1:</w:t>
      </w:r>
      <w:r w:rsidR="00B0584A">
        <w:rPr>
          <w:rFonts w:ascii="Times New Roman" w:eastAsia="Times New Roman" w:hAnsi="Times New Roman" w:cs="Times New Roman"/>
          <w:b/>
          <w:sz w:val="26"/>
          <w:szCs w:val="26"/>
        </w:rPr>
        <w:t>100</w:t>
      </w:r>
      <w:r w:rsidRPr="00545177">
        <w:rPr>
          <w:rFonts w:ascii="Times New Roman" w:eastAsia="Times New Roman" w:hAnsi="Times New Roman" w:cs="Times New Roman"/>
          <w:b/>
          <w:sz w:val="26"/>
          <w:szCs w:val="26"/>
        </w:rPr>
        <w:t xml:space="preserve"> 000</w:t>
      </w:r>
    </w:p>
    <w:p w14:paraId="482E345F" w14:textId="1D9A4233" w:rsidR="00FC14C8" w:rsidRPr="00545177" w:rsidRDefault="00B0584A" w:rsidP="00FC14C8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35EE">
        <w:rPr>
          <w:rFonts w:ascii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41EA6842" wp14:editId="58AE92A1">
            <wp:extent cx="5673343" cy="8362950"/>
            <wp:effectExtent l="0" t="0" r="0" b="0"/>
            <wp:docPr id="68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ограммаГ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282" cy="837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BF6AE" w14:textId="77777777" w:rsidR="00FC14C8" w:rsidRPr="00545177" w:rsidRDefault="00FC14C8" w:rsidP="00FC14C8">
      <w:pPr>
        <w:spacing w:after="0"/>
        <w:ind w:firstLine="709"/>
        <w:jc w:val="center"/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</w:pPr>
      <w:r w:rsidRPr="00545177">
        <w:rPr>
          <w:rFonts w:ascii="Times New Roman" w:eastAsia="MS Mincho" w:hAnsi="Times New Roman" w:cs="Times New Roman"/>
          <w:b/>
          <w:bCs/>
          <w:sz w:val="26"/>
          <w:szCs w:val="26"/>
          <w:lang w:eastAsia="ar-SA"/>
        </w:rPr>
        <w:t>Рисунок 1</w:t>
      </w:r>
    </w:p>
    <w:p w14:paraId="0D5346B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ECC4AE5" w14:textId="77777777" w:rsidR="00FC14C8" w:rsidRPr="00545177" w:rsidRDefault="00FC14C8" w:rsidP="00FC14C8">
      <w:pPr>
        <w:pStyle w:val="ad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E62156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63DCAF1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2.</w:t>
      </w:r>
      <w:r w:rsidRPr="00545177">
        <w:rPr>
          <w:sz w:val="28"/>
          <w:szCs w:val="28"/>
        </w:rPr>
        <w:t xml:space="preserve"> </w:t>
      </w:r>
      <w:r w:rsidRPr="00545177">
        <w:rPr>
          <w:rFonts w:ascii="Times New Roman" w:hAnsi="Times New Roman" w:cs="Times New Roman"/>
          <w:b/>
          <w:sz w:val="28"/>
          <w:szCs w:val="28"/>
        </w:rPr>
        <w:t>Описание затрагиваемой территории с указанием численности ее населения, участков, на которых могут быть обнаружены выбросы, сбросы и иные негативные воздействия намечаемой деятельности на окружающую среду, с учетом их характеристик и способности переноса в окружающую среду; участков извлечения природных ресурсов</w:t>
      </w:r>
    </w:p>
    <w:p w14:paraId="6CDC5E72" w14:textId="32EA6AA2" w:rsidR="00FC14C8" w:rsidRPr="00545177" w:rsidRDefault="00B0584A" w:rsidP="00FC14C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eastAsia="Times New Roman" w:hAnsi="Times New Roman" w:cs="Times New Roman"/>
          <w:sz w:val="28"/>
          <w:szCs w:val="28"/>
        </w:rPr>
        <w:t xml:space="preserve">Ближайший населенный пункт - поселок </w:t>
      </w:r>
      <w:proofErr w:type="spellStart"/>
      <w:r w:rsidRPr="00B0584A">
        <w:rPr>
          <w:rFonts w:ascii="Times New Roman" w:eastAsia="Times New Roman" w:hAnsi="Times New Roman" w:cs="Times New Roman"/>
          <w:sz w:val="28"/>
          <w:szCs w:val="28"/>
        </w:rPr>
        <w:t>Бирлестик</w:t>
      </w:r>
      <w:proofErr w:type="spellEnd"/>
      <w:r w:rsidRPr="00B0584A">
        <w:rPr>
          <w:rFonts w:ascii="Times New Roman" w:eastAsia="Times New Roman" w:hAnsi="Times New Roman" w:cs="Times New Roman"/>
          <w:sz w:val="28"/>
          <w:szCs w:val="28"/>
        </w:rPr>
        <w:t>, находится в 3 км на северо-запад от месторождения.</w:t>
      </w:r>
    </w:p>
    <w:p w14:paraId="5D203FD0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Наибольшая концентрация пылевых выбросов и шумового воздействия возможна непосредственно в пределах участка горных работ. Вне этих участков перенос загрязняющих веществ в окружающую среду ограничен и локален.</w:t>
      </w:r>
    </w:p>
    <w:p w14:paraId="393CE6E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Сбросы загрязняющих веществ в водные объекты при реализации намечаемой деятельности не предусматриваются. Возможные изменения затрагивают лишь земельные ресурсы в границах отвода. Таким образом, негативное воздействие деятельности носит локальный характер и ограничивается непосредственно территорией месторождения и прилегающими производственными участками.</w:t>
      </w:r>
    </w:p>
    <w:p w14:paraId="70730BAC" w14:textId="77777777" w:rsidR="00FC14C8" w:rsidRPr="00545177" w:rsidRDefault="00FC14C8" w:rsidP="00FC14C8">
      <w:pPr>
        <w:pStyle w:val="af"/>
        <w:spacing w:after="0"/>
        <w:rPr>
          <w:szCs w:val="28"/>
        </w:rPr>
      </w:pPr>
    </w:p>
    <w:p w14:paraId="0893CAEF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3. Наименование инициатора намечаемой деятельности, его контактные данные</w:t>
      </w:r>
    </w:p>
    <w:p w14:paraId="1D0706E8" w14:textId="338AD791" w:rsidR="00B0584A" w:rsidRPr="00B0584A" w:rsidRDefault="00B0584A" w:rsidP="00B0584A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ТОО «</w:t>
      </w:r>
      <w:proofErr w:type="spellStart"/>
      <w:r w:rsidRPr="00B0584A">
        <w:rPr>
          <w:rFonts w:ascii="Times New Roman" w:hAnsi="Times New Roman" w:cs="Times New Roman"/>
          <w:sz w:val="28"/>
          <w:szCs w:val="28"/>
        </w:rPr>
        <w:t>Qazaq</w:t>
      </w:r>
      <w:proofErr w:type="spellEnd"/>
      <w:r w:rsidRPr="00B0584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584A">
        <w:rPr>
          <w:rFonts w:ascii="Times New Roman" w:hAnsi="Times New Roman" w:cs="Times New Roman"/>
          <w:sz w:val="28"/>
          <w:szCs w:val="28"/>
        </w:rPr>
        <w:t>Kaolin</w:t>
      </w:r>
      <w:proofErr w:type="spellEnd"/>
      <w:r w:rsidRPr="00B0584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Юр. Адрес: </w:t>
      </w:r>
      <w:r w:rsidRPr="00B0584A">
        <w:rPr>
          <w:rFonts w:ascii="Times New Roman" w:hAnsi="Times New Roman" w:cs="Times New Roman"/>
          <w:sz w:val="28"/>
          <w:szCs w:val="28"/>
        </w:rPr>
        <w:t xml:space="preserve">Акмолинская область, Зерендинский район, с. </w:t>
      </w:r>
      <w:proofErr w:type="spellStart"/>
      <w:r w:rsidRPr="00B0584A">
        <w:rPr>
          <w:rFonts w:ascii="Times New Roman" w:hAnsi="Times New Roman" w:cs="Times New Roman"/>
          <w:sz w:val="28"/>
          <w:szCs w:val="28"/>
        </w:rPr>
        <w:t>Бирлестик</w:t>
      </w:r>
      <w:proofErr w:type="spellEnd"/>
      <w:r w:rsidRPr="00B0584A">
        <w:rPr>
          <w:rFonts w:ascii="Times New Roman" w:hAnsi="Times New Roman" w:cs="Times New Roman"/>
          <w:sz w:val="28"/>
          <w:szCs w:val="28"/>
        </w:rPr>
        <w:t xml:space="preserve">, пром. зона </w:t>
      </w:r>
      <w:proofErr w:type="spellStart"/>
      <w:r w:rsidRPr="00B0584A">
        <w:rPr>
          <w:rFonts w:ascii="Times New Roman" w:hAnsi="Times New Roman" w:cs="Times New Roman"/>
          <w:sz w:val="28"/>
          <w:szCs w:val="28"/>
        </w:rPr>
        <w:t>Бирлестик</w:t>
      </w:r>
      <w:proofErr w:type="spellEnd"/>
      <w:r w:rsidRPr="00B0584A">
        <w:rPr>
          <w:rFonts w:ascii="Times New Roman" w:hAnsi="Times New Roman" w:cs="Times New Roman"/>
          <w:sz w:val="28"/>
          <w:szCs w:val="28"/>
        </w:rPr>
        <w:t>, здание 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0584A">
        <w:rPr>
          <w:rFonts w:ascii="Times New Roman" w:hAnsi="Times New Roman" w:cs="Times New Roman"/>
          <w:sz w:val="28"/>
          <w:szCs w:val="28"/>
        </w:rPr>
        <w:t xml:space="preserve">тел. 8 (7162) -72-22-11 </w:t>
      </w:r>
    </w:p>
    <w:p w14:paraId="28DCF9A2" w14:textId="31A0BEA2" w:rsidR="00FC14C8" w:rsidRPr="00545177" w:rsidRDefault="00B0584A" w:rsidP="00B0584A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БИН 101240014515</w:t>
      </w:r>
    </w:p>
    <w:p w14:paraId="4061884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78B5F01E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4. Краткое описание намечаемой деятельности</w:t>
      </w:r>
    </w:p>
    <w:p w14:paraId="76C9B76A" w14:textId="30DC42DB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Вид деятельности: </w:t>
      </w:r>
      <w:r w:rsidRPr="00545177">
        <w:rPr>
          <w:rFonts w:ascii="Times New Roman" w:hAnsi="Times New Roman" w:cs="Times New Roman"/>
          <w:bCs/>
          <w:sz w:val="28"/>
          <w:szCs w:val="28"/>
        </w:rPr>
        <w:t xml:space="preserve">добыча </w:t>
      </w:r>
      <w:r w:rsidR="00B0584A" w:rsidRPr="00B0584A">
        <w:rPr>
          <w:rFonts w:ascii="Times New Roman" w:hAnsi="Times New Roman" w:cs="Times New Roman"/>
          <w:bCs/>
          <w:sz w:val="28"/>
          <w:szCs w:val="28"/>
        </w:rPr>
        <w:t>первичных каолинов месторождения «Алексеевское» Зерендинского района Акмолинской области</w:t>
      </w:r>
      <w:r w:rsidRPr="00545177">
        <w:rPr>
          <w:rFonts w:ascii="Times New Roman" w:hAnsi="Times New Roman" w:cs="Times New Roman"/>
          <w:bCs/>
          <w:sz w:val="28"/>
          <w:szCs w:val="28"/>
        </w:rPr>
        <w:t>.</w:t>
      </w:r>
    </w:p>
    <w:p w14:paraId="338E5BEA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768E3F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Объект, необходимый для ее осуществления, его мощность, габариты (площадь занимаемых земель, высота), производительность, физические и технические характеристики, влияющие на воздействия на окружающую среду: </w:t>
      </w:r>
    </w:p>
    <w:p w14:paraId="18B9688D" w14:textId="77777777" w:rsidR="00B0584A" w:rsidRPr="00F85C17" w:rsidRDefault="00B0584A" w:rsidP="00B0584A">
      <w:pPr>
        <w:suppressAutoHyphens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Благоприятные </w:t>
      </w:r>
      <w:proofErr w:type="spellStart"/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горно</w:t>
      </w:r>
      <w:proofErr w:type="spellEnd"/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-геологические условия залегания разведанного массива Алексеевского месторождения каолина, незначительная мощность вскрыши на месторождении позволяет вести разработку месторождения открытым способом.</w:t>
      </w:r>
    </w:p>
    <w:p w14:paraId="1BECAC49" w14:textId="77777777" w:rsidR="00B0584A" w:rsidRPr="00F85C17" w:rsidRDefault="00B0584A" w:rsidP="00B0584A">
      <w:pPr>
        <w:widowControl w:val="0"/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За выемочную единицу разработки принят уступ.</w:t>
      </w:r>
    </w:p>
    <w:p w14:paraId="619A35CC" w14:textId="77777777" w:rsidR="00B0584A" w:rsidRPr="00F85C17" w:rsidRDefault="00B0584A" w:rsidP="00B0584A">
      <w:pPr>
        <w:widowControl w:val="0"/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Построение контуров карьера выполнено графическим методом с учетом морфологии, рельефа месторождения, мощности вскрышных пород и полезного слоя, а также гидрогеологических условий. На каждом горизонте оставлена предохранительная берма с минимальной шириной 6 м.</w:t>
      </w:r>
    </w:p>
    <w:p w14:paraId="740EC5AC" w14:textId="77777777" w:rsidR="00B0584A" w:rsidRPr="00F85C17" w:rsidRDefault="00B0584A" w:rsidP="00B0584A">
      <w:pPr>
        <w:widowControl w:val="0"/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За нижнюю границу отработки месторождения в настоящем плане горных работ принята единая гипсометрическая отметка на момент окончания контрактного периода горизонт +204 м.</w:t>
      </w:r>
    </w:p>
    <w:p w14:paraId="75C24D45" w14:textId="77777777" w:rsidR="00B0584A" w:rsidRPr="00F85C17" w:rsidRDefault="00B0584A" w:rsidP="00B0584A">
      <w:pPr>
        <w:widowControl w:val="0"/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При определении технических границ карьера в основу приняты следующие </w:t>
      </w: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lastRenderedPageBreak/>
        <w:t>положения:</w:t>
      </w:r>
    </w:p>
    <w:p w14:paraId="3A1B3E96" w14:textId="77777777" w:rsidR="00B0584A" w:rsidRPr="00F85C17" w:rsidRDefault="00B0584A" w:rsidP="00B0584A">
      <w:pPr>
        <w:widowControl w:val="0"/>
        <w:numPr>
          <w:ilvl w:val="0"/>
          <w:numId w:val="5"/>
        </w:numPr>
        <w:tabs>
          <w:tab w:val="num" w:pos="-851"/>
        </w:tabs>
        <w:suppressAutoHyphens/>
        <w:autoSpaceDE w:val="0"/>
        <w:spacing w:after="0"/>
        <w:ind w:left="0" w:firstLine="709"/>
        <w:jc w:val="left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В соответствии с заданием на проектирование на отработку в контрактный период вовлекаются часть запасов в объеме 3045,0 </w:t>
      </w:r>
      <w:proofErr w:type="gramStart"/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тыс.м</w:t>
      </w:r>
      <w:proofErr w:type="gramEnd"/>
      <w:r w:rsidRPr="00F85C17">
        <w:rPr>
          <w:rFonts w:ascii="Times New Roman" w:eastAsia="SimSun" w:hAnsi="Times New Roman" w:cs="Times New Roman"/>
          <w:sz w:val="26"/>
          <w:szCs w:val="26"/>
          <w:vertAlign w:val="superscript"/>
          <w:lang w:eastAsia="ar-SA"/>
        </w:rPr>
        <w:t>3</w:t>
      </w: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., с разбивкой по годам, </w:t>
      </w:r>
      <w:proofErr w:type="gramStart"/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согласно календарного графика</w:t>
      </w:r>
      <w:proofErr w:type="gramEnd"/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.</w:t>
      </w:r>
    </w:p>
    <w:p w14:paraId="423CD756" w14:textId="77777777" w:rsidR="00B0584A" w:rsidRPr="00F85C17" w:rsidRDefault="00B0584A" w:rsidP="00B0584A">
      <w:pPr>
        <w:widowControl w:val="0"/>
        <w:numPr>
          <w:ilvl w:val="0"/>
          <w:numId w:val="5"/>
        </w:numPr>
        <w:tabs>
          <w:tab w:val="num" w:pos="-851"/>
        </w:tabs>
        <w:suppressAutoHyphens/>
        <w:autoSpaceDE w:val="0"/>
        <w:spacing w:after="0"/>
        <w:ind w:left="0" w:firstLine="709"/>
        <w:jc w:val="left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В соответствии с данными по инженерно-геологическим условиям породы месторождения относятся к I классу устойчивости, а также с учетом данных ВНИМИ приняты следующие углы откосов:</w:t>
      </w:r>
    </w:p>
    <w:p w14:paraId="331DC5BA" w14:textId="77777777" w:rsidR="00B0584A" w:rsidRPr="00F85C17" w:rsidRDefault="00B0584A" w:rsidP="00B0584A">
      <w:pPr>
        <w:widowControl w:val="0"/>
        <w:numPr>
          <w:ilvl w:val="0"/>
          <w:numId w:val="4"/>
        </w:numPr>
        <w:tabs>
          <w:tab w:val="num" w:pos="-2268"/>
        </w:tabs>
        <w:suppressAutoHyphens/>
        <w:autoSpaceDE w:val="0"/>
        <w:autoSpaceDN w:val="0"/>
        <w:adjustRightInd w:val="0"/>
        <w:spacing w:after="0"/>
        <w:ind w:left="0" w:firstLine="709"/>
        <w:jc w:val="left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при добыче – 60°;</w:t>
      </w:r>
    </w:p>
    <w:p w14:paraId="18372EFD" w14:textId="77777777" w:rsidR="00B0584A" w:rsidRPr="00F85C17" w:rsidRDefault="00B0584A" w:rsidP="00B0584A">
      <w:pPr>
        <w:widowControl w:val="0"/>
        <w:numPr>
          <w:ilvl w:val="0"/>
          <w:numId w:val="4"/>
        </w:numPr>
        <w:tabs>
          <w:tab w:val="num" w:pos="-2268"/>
        </w:tabs>
        <w:suppressAutoHyphens/>
        <w:autoSpaceDE w:val="0"/>
        <w:autoSpaceDN w:val="0"/>
        <w:adjustRightInd w:val="0"/>
        <w:spacing w:after="0"/>
        <w:ind w:left="0" w:firstLine="709"/>
        <w:jc w:val="left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при погашении - 45°;</w:t>
      </w:r>
    </w:p>
    <w:p w14:paraId="18125F27" w14:textId="77777777" w:rsidR="00B0584A" w:rsidRPr="00F85C17" w:rsidRDefault="00B0584A" w:rsidP="00B0584A">
      <w:pPr>
        <w:widowControl w:val="0"/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Указанные углы рекомендованы Нормами технологического проектирования (НТП) и «Правилами обеспечения промышленной безопасности для опасных производственных объектов, ведущих горные и геологоразведочные работы».</w:t>
      </w:r>
    </w:p>
    <w:p w14:paraId="31AA8BE1" w14:textId="13D91A56" w:rsidR="00FC14C8" w:rsidRPr="00545177" w:rsidRDefault="00B0584A" w:rsidP="00B0584A">
      <w:pPr>
        <w:widowControl w:val="0"/>
        <w:shd w:val="clear" w:color="auto" w:fill="FFFFFF"/>
        <w:tabs>
          <w:tab w:val="left" w:pos="851"/>
        </w:tabs>
        <w:suppressAutoHyphens/>
        <w:autoSpaceDE w:val="0"/>
        <w:spacing w:after="0"/>
        <w:ind w:right="19"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85C17">
        <w:rPr>
          <w:rFonts w:ascii="Times New Roman" w:eastAsia="SimSun" w:hAnsi="Times New Roman" w:cs="Times New Roman"/>
          <w:sz w:val="26"/>
          <w:szCs w:val="26"/>
          <w:lang w:eastAsia="ar-SA"/>
        </w:rPr>
        <w:t>Проектный контур карьера определен с учетом разноса бортов карьера, транспортных и предохранительных берм, а также с учетом полного извлечения утвержденных запасов в контуре карьера.</w:t>
      </w:r>
    </w:p>
    <w:p w14:paraId="76C50FF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0102D07A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45177">
        <w:rPr>
          <w:rFonts w:ascii="Times New Roman" w:hAnsi="Times New Roman"/>
          <w:b/>
          <w:sz w:val="28"/>
          <w:szCs w:val="28"/>
        </w:rPr>
        <w:t xml:space="preserve">Сведения о производственном процессе, в том числе об ожидаемой производительности предприятия, его потребности в энергии, природных ресурсах, сырье и материалах </w:t>
      </w:r>
    </w:p>
    <w:p w14:paraId="299EB6E8" w14:textId="77777777" w:rsidR="00B0584A" w:rsidRPr="00F74FF0" w:rsidRDefault="00B0584A" w:rsidP="00B0584A">
      <w:pPr>
        <w:widowControl w:val="0"/>
        <w:tabs>
          <w:tab w:val="left" w:pos="1260"/>
        </w:tabs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Система разработки определяется способом и порядком производства </w:t>
      </w:r>
      <w:proofErr w:type="spellStart"/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горно</w:t>
      </w:r>
      <w:proofErr w:type="spellEnd"/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-подготовительных, вскрышных и добычных работ. Рациональная система должна обеспечить безопасность работ, минимальные потери полезного ископаемого, достижения наилучших показателей интенсивности разработки, а также труда и себестоимости продукции.</w:t>
      </w:r>
    </w:p>
    <w:p w14:paraId="48DB9BAD" w14:textId="77777777" w:rsidR="00B0584A" w:rsidRPr="00F74FF0" w:rsidRDefault="00B0584A" w:rsidP="00B0584A">
      <w:pPr>
        <w:widowControl w:val="0"/>
        <w:shd w:val="clear" w:color="auto" w:fill="FFFFFF"/>
        <w:tabs>
          <w:tab w:val="left" w:pos="9356"/>
        </w:tabs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По классификации профессора Е.Ф. Шешко планом горных работ принята транспортная сис</w:t>
      </w:r>
      <w:r w:rsidRPr="00F74FF0">
        <w:rPr>
          <w:rFonts w:ascii="Times New Roman" w:eastAsia="SimSun" w:hAnsi="Times New Roman" w:cs="Times New Roman"/>
          <w:spacing w:val="-1"/>
          <w:sz w:val="26"/>
          <w:szCs w:val="26"/>
          <w:lang w:eastAsia="ar-SA"/>
        </w:rPr>
        <w:t>тема разработки с перевозкой вскрыши во внешние отвалы.</w:t>
      </w:r>
    </w:p>
    <w:p w14:paraId="2BF01AEF" w14:textId="77777777" w:rsidR="00B0584A" w:rsidRPr="00F74FF0" w:rsidRDefault="00B0584A" w:rsidP="00B0584A">
      <w:pPr>
        <w:widowControl w:val="0"/>
        <w:suppressAutoHyphens/>
        <w:autoSpaceDE w:val="0"/>
        <w:spacing w:after="0"/>
        <w:ind w:firstLine="720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В соответствие с правилами промышленной безопасности и «Норм технологического проектирования предприятий промышленности нерудных строительных материалов», высота уступа принимается с учетом физико-механических свойств горных пород и полезного ископаемого, горнотехнических условий их залегания.</w:t>
      </w:r>
    </w:p>
    <w:p w14:paraId="3546098F" w14:textId="77777777" w:rsidR="00B0584A" w:rsidRPr="00F74FF0" w:rsidRDefault="00B0584A" w:rsidP="00B0584A">
      <w:pPr>
        <w:widowControl w:val="0"/>
        <w:autoSpaceDE w:val="0"/>
        <w:spacing w:after="0"/>
        <w:ind w:firstLine="720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С учетом вышеперечисленных факторов принимаем следующую систему разработки:</w:t>
      </w:r>
    </w:p>
    <w:p w14:paraId="5AE97868" w14:textId="77777777" w:rsidR="00B0584A" w:rsidRPr="00F74FF0" w:rsidRDefault="00B0584A" w:rsidP="00B0584A">
      <w:pPr>
        <w:widowControl w:val="0"/>
        <w:autoSpaceDE w:val="0"/>
        <w:spacing w:after="0"/>
        <w:ind w:firstLine="720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- по способу перемещения горной массы – транспортная;</w:t>
      </w:r>
    </w:p>
    <w:p w14:paraId="49BD163B" w14:textId="77777777" w:rsidR="00B0584A" w:rsidRPr="00F74FF0" w:rsidRDefault="00B0584A" w:rsidP="00B0584A">
      <w:pPr>
        <w:widowControl w:val="0"/>
        <w:autoSpaceDE w:val="0"/>
        <w:spacing w:after="0"/>
        <w:ind w:firstLine="720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- по развитию рабочей зоны – </w:t>
      </w:r>
      <w:proofErr w:type="spellStart"/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углубочно</w:t>
      </w:r>
      <w:proofErr w:type="spellEnd"/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-сплошная;</w:t>
      </w:r>
    </w:p>
    <w:p w14:paraId="760AB736" w14:textId="77777777" w:rsidR="00B0584A" w:rsidRPr="00F74FF0" w:rsidRDefault="00B0584A" w:rsidP="00B0584A">
      <w:pPr>
        <w:widowControl w:val="0"/>
        <w:autoSpaceDE w:val="0"/>
        <w:spacing w:after="0"/>
        <w:ind w:firstLine="720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- по расположению фронта работ – продольная;</w:t>
      </w:r>
    </w:p>
    <w:p w14:paraId="14239465" w14:textId="77777777" w:rsidR="00B0584A" w:rsidRPr="00F74FF0" w:rsidRDefault="00B0584A" w:rsidP="00B0584A">
      <w:pPr>
        <w:widowControl w:val="0"/>
        <w:tabs>
          <w:tab w:val="left" w:pos="1260"/>
        </w:tabs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- по направлению перемещения фронта работ – </w:t>
      </w:r>
      <w:proofErr w:type="spellStart"/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однобортовая</w:t>
      </w:r>
      <w:proofErr w:type="spellEnd"/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.</w:t>
      </w:r>
    </w:p>
    <w:p w14:paraId="3400B13F" w14:textId="77777777" w:rsidR="00B0584A" w:rsidRPr="00F74FF0" w:rsidRDefault="00B0584A" w:rsidP="00B0584A">
      <w:pPr>
        <w:widowControl w:val="0"/>
        <w:tabs>
          <w:tab w:val="left" w:pos="1260"/>
        </w:tabs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sz w:val="26"/>
          <w:szCs w:val="26"/>
          <w:highlight w:val="yellow"/>
          <w:lang w:eastAsia="ar-SA"/>
        </w:rPr>
      </w:pPr>
      <w:r w:rsidRPr="00F74FF0">
        <w:rPr>
          <w:rFonts w:ascii="Times New Roman" w:eastAsia="SimSun" w:hAnsi="Times New Roman" w:cs="Times New Roman"/>
          <w:sz w:val="26"/>
          <w:szCs w:val="26"/>
          <w:lang w:eastAsia="ar-SA"/>
        </w:rPr>
        <w:t>Отработка месторождения осуществляется экскаватором с отгрузкой в автосамосвалы. ПРС разрабатывается комбинированным методом, вскрытие будет осуществляться бульдозером с образованием «валов» и, в дальнейшем – погрузка погрузчиком на автотранспорт. Вскрышные породы отрабатываются экскаватором с отгрузкой в автосамосвалы.</w:t>
      </w:r>
    </w:p>
    <w:p w14:paraId="199C8D77" w14:textId="77777777" w:rsidR="00B0584A" w:rsidRPr="00F74FF0" w:rsidRDefault="00B0584A" w:rsidP="00B0584A">
      <w:pPr>
        <w:suppressAutoHyphens/>
        <w:spacing w:after="0"/>
        <w:ind w:firstLine="709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Предусматривается следующий порядок ведения горных работ на карьере:</w:t>
      </w:r>
    </w:p>
    <w:p w14:paraId="25EBBDF6" w14:textId="77777777" w:rsidR="00B0584A" w:rsidRPr="00F74FF0" w:rsidRDefault="00B0584A" w:rsidP="00B0584A">
      <w:pPr>
        <w:widowControl w:val="0"/>
        <w:numPr>
          <w:ilvl w:val="0"/>
          <w:numId w:val="6"/>
        </w:numPr>
        <w:tabs>
          <w:tab w:val="left" w:pos="993"/>
        </w:tabs>
        <w:suppressAutoHyphens/>
        <w:autoSpaceDE w:val="0"/>
        <w:spacing w:after="0"/>
        <w:ind w:left="0" w:firstLine="709"/>
        <w:jc w:val="left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Снятие и складирование почвенно-растительного слоя на склад.</w:t>
      </w:r>
    </w:p>
    <w:p w14:paraId="5FE354E4" w14:textId="77777777" w:rsidR="00B0584A" w:rsidRPr="00F74FF0" w:rsidRDefault="00B0584A" w:rsidP="00B0584A">
      <w:pPr>
        <w:widowControl w:val="0"/>
        <w:numPr>
          <w:ilvl w:val="0"/>
          <w:numId w:val="6"/>
        </w:numPr>
        <w:tabs>
          <w:tab w:val="left" w:pos="993"/>
        </w:tabs>
        <w:suppressAutoHyphens/>
        <w:autoSpaceDE w:val="0"/>
        <w:spacing w:after="0"/>
        <w:ind w:left="0" w:firstLine="709"/>
        <w:jc w:val="left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Выемка и погрузка вскрышных пород в забоях карьера.</w:t>
      </w:r>
    </w:p>
    <w:p w14:paraId="2F3C9675" w14:textId="77777777" w:rsidR="00B0584A" w:rsidRPr="00F74FF0" w:rsidRDefault="00B0584A" w:rsidP="00B0584A">
      <w:pPr>
        <w:widowControl w:val="0"/>
        <w:numPr>
          <w:ilvl w:val="0"/>
          <w:numId w:val="6"/>
        </w:numPr>
        <w:tabs>
          <w:tab w:val="left" w:pos="993"/>
        </w:tabs>
        <w:suppressAutoHyphens/>
        <w:autoSpaceDE w:val="0"/>
        <w:spacing w:after="0"/>
        <w:ind w:left="0" w:firstLine="709"/>
        <w:jc w:val="left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Транспортировка вскрышных пород на отвал и на строительство внутриплощадочных дорог и подсыпку приямков и низин.</w:t>
      </w:r>
    </w:p>
    <w:p w14:paraId="4264C1FF" w14:textId="77777777" w:rsidR="00B0584A" w:rsidRPr="00F74FF0" w:rsidRDefault="00B0584A" w:rsidP="00B0584A">
      <w:pPr>
        <w:widowControl w:val="0"/>
        <w:numPr>
          <w:ilvl w:val="0"/>
          <w:numId w:val="6"/>
        </w:numPr>
        <w:tabs>
          <w:tab w:val="left" w:pos="993"/>
        </w:tabs>
        <w:suppressAutoHyphens/>
        <w:autoSpaceDE w:val="0"/>
        <w:spacing w:after="0"/>
        <w:ind w:left="0" w:firstLine="709"/>
        <w:jc w:val="left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Выемка и погрузка полезного ископаемого в забоях карьера.</w:t>
      </w:r>
    </w:p>
    <w:p w14:paraId="2E733605" w14:textId="77777777" w:rsidR="00B0584A" w:rsidRPr="00F74FF0" w:rsidRDefault="00B0584A" w:rsidP="00B0584A">
      <w:pPr>
        <w:widowControl w:val="0"/>
        <w:numPr>
          <w:ilvl w:val="0"/>
          <w:numId w:val="6"/>
        </w:numPr>
        <w:tabs>
          <w:tab w:val="left" w:pos="993"/>
        </w:tabs>
        <w:suppressAutoHyphens/>
        <w:autoSpaceDE w:val="0"/>
        <w:spacing w:after="0"/>
        <w:ind w:left="0" w:firstLine="709"/>
        <w:jc w:val="left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lastRenderedPageBreak/>
        <w:t>Транспортировка полезного ископаемого на склад сырья.</w:t>
      </w:r>
    </w:p>
    <w:p w14:paraId="14EC2441" w14:textId="77777777" w:rsidR="00B0584A" w:rsidRPr="00F74FF0" w:rsidRDefault="00B0584A" w:rsidP="00B0584A">
      <w:pPr>
        <w:suppressAutoHyphens/>
        <w:spacing w:after="0"/>
        <w:ind w:firstLine="709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Для выполнения объемов по приведенному порядку горных работ предусматриваются следующие типы и модели горнотранспортного оборудования либо горнотранспортное оборудование других моделей с аналогичными технологическими характеристиками:</w:t>
      </w:r>
    </w:p>
    <w:p w14:paraId="42377B33" w14:textId="77777777" w:rsidR="00B0584A" w:rsidRPr="00F74FF0" w:rsidRDefault="00B0584A" w:rsidP="00B0584A">
      <w:pPr>
        <w:suppressAutoHyphens/>
        <w:spacing w:after="0"/>
        <w:ind w:left="1069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Экскаватор КOMATSU РС400-7 с емкостью ковша 2,6 м</w:t>
      </w:r>
      <w:r w:rsidRPr="00F74FF0">
        <w:rPr>
          <w:rFonts w:ascii="Times New Roman" w:eastAsia="Arial" w:hAnsi="Times New Roman" w:cs="Times New Roman"/>
          <w:sz w:val="26"/>
          <w:szCs w:val="26"/>
          <w:vertAlign w:val="superscript"/>
          <w:lang w:eastAsia="ar-SA"/>
        </w:rPr>
        <w:t>3</w:t>
      </w: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;</w:t>
      </w:r>
    </w:p>
    <w:p w14:paraId="657E2619" w14:textId="77777777" w:rsidR="00B0584A" w:rsidRPr="00F74FF0" w:rsidRDefault="00B0584A" w:rsidP="00B0584A">
      <w:pPr>
        <w:suppressAutoHyphens/>
        <w:spacing w:after="0"/>
        <w:ind w:left="1069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Автосамосвалы КАМАЗ 65115 грузоподъемностью 15 тонн;</w:t>
      </w:r>
    </w:p>
    <w:p w14:paraId="33886D5E" w14:textId="77777777" w:rsidR="00B0584A" w:rsidRPr="00F74FF0" w:rsidRDefault="00B0584A" w:rsidP="00B0584A">
      <w:pPr>
        <w:suppressAutoHyphens/>
        <w:spacing w:after="0"/>
        <w:ind w:left="1069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Бульдозер </w:t>
      </w:r>
      <w:r w:rsidRPr="00F74FF0">
        <w:rPr>
          <w:rFonts w:ascii="Times New Roman" w:eastAsia="Arial" w:hAnsi="Times New Roman" w:cs="Times New Roman"/>
          <w:sz w:val="26"/>
          <w:szCs w:val="26"/>
          <w:lang w:val="en-US" w:eastAsia="ar-SA"/>
        </w:rPr>
        <w:t>Shantui</w:t>
      </w: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 </w:t>
      </w:r>
      <w:r w:rsidRPr="00F74FF0">
        <w:rPr>
          <w:rFonts w:ascii="Times New Roman" w:eastAsia="Arial" w:hAnsi="Times New Roman" w:cs="Times New Roman"/>
          <w:sz w:val="26"/>
          <w:szCs w:val="26"/>
          <w:lang w:val="en-US" w:eastAsia="ar-SA"/>
        </w:rPr>
        <w:t>SD</w:t>
      </w: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32;</w:t>
      </w:r>
    </w:p>
    <w:p w14:paraId="13D8724A" w14:textId="77777777" w:rsidR="00B0584A" w:rsidRPr="00F74FF0" w:rsidRDefault="00B0584A" w:rsidP="00B0584A">
      <w:pPr>
        <w:tabs>
          <w:tab w:val="left" w:pos="993"/>
        </w:tabs>
        <w:suppressAutoHyphens/>
        <w:spacing w:after="0"/>
        <w:ind w:left="1069"/>
        <w:rPr>
          <w:rFonts w:ascii="Times New Roman" w:eastAsia="Arial" w:hAnsi="Times New Roman" w:cs="Times New Roman"/>
          <w:sz w:val="26"/>
          <w:szCs w:val="26"/>
          <w:lang w:eastAsia="ar-SA"/>
        </w:rPr>
      </w:pP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 xml:space="preserve">Погрузчик </w:t>
      </w:r>
      <w:r w:rsidRPr="00F74FF0">
        <w:rPr>
          <w:rFonts w:ascii="Times New Roman" w:eastAsia="Arial" w:hAnsi="Times New Roman" w:cs="Times New Roman"/>
          <w:sz w:val="26"/>
          <w:szCs w:val="26"/>
          <w:lang w:val="en-US" w:eastAsia="ar-SA"/>
        </w:rPr>
        <w:t>ZL</w:t>
      </w: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50 с емкостью ковша 3,0 м</w:t>
      </w:r>
      <w:r w:rsidRPr="00F74FF0">
        <w:rPr>
          <w:rFonts w:ascii="Times New Roman" w:eastAsia="Arial" w:hAnsi="Times New Roman" w:cs="Times New Roman"/>
          <w:sz w:val="26"/>
          <w:szCs w:val="26"/>
          <w:vertAlign w:val="superscript"/>
          <w:lang w:eastAsia="ar-SA"/>
        </w:rPr>
        <w:t>3</w:t>
      </w:r>
      <w:r w:rsidRPr="00F74FF0">
        <w:rPr>
          <w:rFonts w:ascii="Times New Roman" w:eastAsia="Arial" w:hAnsi="Times New Roman" w:cs="Times New Roman"/>
          <w:sz w:val="26"/>
          <w:szCs w:val="26"/>
          <w:lang w:eastAsia="ar-SA"/>
        </w:rPr>
        <w:t>.</w:t>
      </w:r>
    </w:p>
    <w:p w14:paraId="311560BE" w14:textId="2B4C4FD0" w:rsidR="00FC14C8" w:rsidRPr="00545177" w:rsidRDefault="00FC14C8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14:paraId="1C2D181E" w14:textId="77777777" w:rsidR="00FC14C8" w:rsidRPr="00545177" w:rsidRDefault="00FC14C8" w:rsidP="00FC14C8">
      <w:pPr>
        <w:pStyle w:val="af"/>
        <w:spacing w:after="0"/>
        <w:rPr>
          <w:rFonts w:eastAsiaTheme="minorEastAsia" w:cstheme="minorBidi"/>
          <w:szCs w:val="28"/>
        </w:rPr>
      </w:pPr>
    </w:p>
    <w:p w14:paraId="0902E82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Примерная площадь земельного участка, необходимого для осуществления намечаемой деятельности</w:t>
      </w:r>
    </w:p>
    <w:p w14:paraId="1EE328AA" w14:textId="77777777" w:rsidR="00B0584A" w:rsidRPr="003F4B63" w:rsidRDefault="00B0584A" w:rsidP="00B0584A">
      <w:pPr>
        <w:widowControl w:val="0"/>
        <w:suppressAutoHyphens/>
        <w:autoSpaceDE w:val="0"/>
        <w:spacing w:after="0"/>
        <w:ind w:firstLine="709"/>
        <w:rPr>
          <w:rFonts w:ascii="Times New Roman" w:eastAsia="SimSun" w:hAnsi="Times New Roman" w:cs="Times New Roman"/>
          <w:color w:val="FF0000"/>
          <w:sz w:val="26"/>
          <w:szCs w:val="26"/>
          <w:lang w:eastAsia="ar-SA"/>
        </w:rPr>
      </w:pPr>
      <w:r w:rsidRPr="003F4B63">
        <w:rPr>
          <w:rFonts w:ascii="Times New Roman" w:eastAsia="SimSun" w:hAnsi="Times New Roman" w:cs="Times New Roman"/>
          <w:sz w:val="26"/>
          <w:szCs w:val="26"/>
          <w:lang w:eastAsia="ar-SA"/>
        </w:rPr>
        <w:t>Площадь горного отвода составляет 2,05 км</w:t>
      </w:r>
      <w:r w:rsidRPr="003F4B63">
        <w:rPr>
          <w:rFonts w:ascii="Times New Roman" w:eastAsia="SimSun" w:hAnsi="Times New Roman" w:cs="Times New Roman"/>
          <w:sz w:val="26"/>
          <w:szCs w:val="26"/>
          <w:vertAlign w:val="superscript"/>
          <w:lang w:eastAsia="ar-SA"/>
        </w:rPr>
        <w:t>2</w:t>
      </w:r>
      <w:r w:rsidRPr="003F4B63">
        <w:rPr>
          <w:rFonts w:ascii="Times New Roman" w:eastAsia="SimSun" w:hAnsi="Times New Roman" w:cs="Times New Roman"/>
          <w:sz w:val="26"/>
          <w:szCs w:val="26"/>
          <w:lang w:eastAsia="ar-SA"/>
        </w:rPr>
        <w:t xml:space="preserve"> (</w:t>
      </w:r>
      <w:r>
        <w:rPr>
          <w:rFonts w:ascii="Times New Roman" w:eastAsia="SimSun" w:hAnsi="Times New Roman" w:cs="Times New Roman"/>
          <w:sz w:val="26"/>
          <w:szCs w:val="26"/>
          <w:lang w:eastAsia="ar-SA"/>
        </w:rPr>
        <w:t>205 га</w:t>
      </w:r>
      <w:r w:rsidRPr="003F4B63">
        <w:rPr>
          <w:rFonts w:ascii="Times New Roman" w:eastAsia="SimSun" w:hAnsi="Times New Roman" w:cs="Times New Roman"/>
          <w:sz w:val="26"/>
          <w:szCs w:val="26"/>
          <w:lang w:eastAsia="ar-SA"/>
        </w:rPr>
        <w:t>).</w:t>
      </w:r>
    </w:p>
    <w:p w14:paraId="4F8FFA6D" w14:textId="0B9BCB44" w:rsidR="00FC14C8" w:rsidRPr="00545177" w:rsidRDefault="00B0584A" w:rsidP="00B0584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3F4B63">
        <w:rPr>
          <w:rFonts w:ascii="Times New Roman" w:eastAsia="SimSun" w:hAnsi="Times New Roman" w:cs="Times New Roman"/>
          <w:sz w:val="26"/>
          <w:szCs w:val="26"/>
          <w:lang w:eastAsia="ar-SA"/>
        </w:rPr>
        <w:t>Глубина горного отвода составляет 66,5.</w:t>
      </w:r>
    </w:p>
    <w:p w14:paraId="61870987" w14:textId="77777777" w:rsidR="00FC14C8" w:rsidRPr="00545177" w:rsidRDefault="00FC14C8" w:rsidP="00FC14C8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14:paraId="1485696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Краткое описание возможных рациональных вариантов осуществления намечаемой деятельности и обоснование выбранного варианта</w:t>
      </w:r>
    </w:p>
    <w:p w14:paraId="5D290A00" w14:textId="77777777" w:rsidR="00FC14C8" w:rsidRPr="00545177" w:rsidRDefault="00FC14C8" w:rsidP="00FC14C8">
      <w:pPr>
        <w:spacing w:after="0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545177">
        <w:rPr>
          <w:rFonts w:ascii="Times New Roman" w:eastAsia="Times New Roman" w:hAnsi="Times New Roman" w:cs="Times New Roman"/>
          <w:sz w:val="28"/>
          <w:szCs w:val="28"/>
          <w:lang w:eastAsia="ar-SA"/>
        </w:rPr>
        <w:t>Учитывая геолого-литологическое строение района и непосредственно участка работ, а также вид полезного ископаемого и его качество, альтернатив по переносу и выбору участков не имеются.</w:t>
      </w:r>
    </w:p>
    <w:p w14:paraId="0A7198B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2FB66F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5. Краткое описание существенных воздействий намечаемой деятельности на окружающую среду, включая воздействия на следующие природные компоненты и иные объекты</w:t>
      </w:r>
    </w:p>
    <w:p w14:paraId="41AAC397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Жизнь и (или) здоровье людей, условия их проживания и деятельности.</w:t>
      </w:r>
    </w:p>
    <w:p w14:paraId="4F1E3CDD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По результатам расчетов выбросов загрязняющих веществ и их рассеивании в приземном слое атмосферы, превышений ПДК на границе СЗЗ нет.</w:t>
      </w:r>
    </w:p>
    <w:p w14:paraId="5611CF4A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При разработке месторождения будут соблюдаться правила промсанитарии и технологии производства с целью обеспечения безопасности для здоровья трудящихся. </w:t>
      </w:r>
    </w:p>
    <w:p w14:paraId="044A1E08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Исходя из выше сказанного, воздействие на жизнь и здоровье людей, а также условия их проживания и деятельности оценивается как </w:t>
      </w:r>
      <w:r w:rsidRPr="00545177">
        <w:rPr>
          <w:i/>
          <w:iCs/>
          <w:szCs w:val="28"/>
        </w:rPr>
        <w:t>незначительное</w:t>
      </w:r>
      <w:r w:rsidRPr="00545177">
        <w:rPr>
          <w:szCs w:val="28"/>
        </w:rPr>
        <w:t>.</w:t>
      </w:r>
    </w:p>
    <w:p w14:paraId="2A6ECBB6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Биоразнообразие (в том числе растительный и животный мир, генетические ресурсы, природные ареалы растений и диких животных, пути миграции диких животных, экосистемы)</w:t>
      </w:r>
    </w:p>
    <w:p w14:paraId="7789BE6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Изменения видового состава растительности, ее состояния, продуктивности сообществ в районе намечаемой деятельности исключается. Оператор объекта будет выполнять работы, с условием минимального воздействия на любой вид растительности и строго в границах земельного отвода.</w:t>
      </w:r>
    </w:p>
    <w:p w14:paraId="7A5BA6CD" w14:textId="4E848982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Для исключения физического уничтожения растительности Планом горных работ предусмотрено снятие плодородного слоя почвы. Снятый слой </w:t>
      </w:r>
      <w:r w:rsidRPr="00545177">
        <w:rPr>
          <w:szCs w:val="28"/>
        </w:rPr>
        <w:lastRenderedPageBreak/>
        <w:t xml:space="preserve">почвы будет </w:t>
      </w:r>
      <w:proofErr w:type="spellStart"/>
      <w:r w:rsidRPr="00545177">
        <w:rPr>
          <w:szCs w:val="28"/>
        </w:rPr>
        <w:t>заскладирован</w:t>
      </w:r>
      <w:proofErr w:type="spellEnd"/>
      <w:r w:rsidRPr="00545177">
        <w:rPr>
          <w:szCs w:val="28"/>
        </w:rPr>
        <w:t xml:space="preserve"> в </w:t>
      </w:r>
      <w:r w:rsidR="00B0584A">
        <w:rPr>
          <w:szCs w:val="28"/>
        </w:rPr>
        <w:t>склад</w:t>
      </w:r>
      <w:r w:rsidRPr="00545177">
        <w:rPr>
          <w:szCs w:val="28"/>
        </w:rPr>
        <w:t xml:space="preserve"> и использоваться для последующей рекультивации нарушенных земель.</w:t>
      </w:r>
    </w:p>
    <w:p w14:paraId="291AF7B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С учетом природоохранных мероприятий проведение работ на участке не повлечет за собой изменение видового состава и численности животного мира.</w:t>
      </w:r>
    </w:p>
    <w:p w14:paraId="0A9D0677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Следовательно, при проведении работ, существенного негативного влияния на растительный и животный мир не произойдет, воздействие </w:t>
      </w:r>
      <w:r w:rsidRPr="00545177">
        <w:rPr>
          <w:i/>
          <w:iCs/>
          <w:szCs w:val="28"/>
        </w:rPr>
        <w:t>допустимое</w:t>
      </w:r>
      <w:r w:rsidRPr="00545177">
        <w:rPr>
          <w:szCs w:val="28"/>
        </w:rPr>
        <w:t>.</w:t>
      </w:r>
    </w:p>
    <w:p w14:paraId="450DA972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Генетические ресурсы</w:t>
      </w:r>
    </w:p>
    <w:p w14:paraId="382A465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 технологическом процессе работ на участке генетические ресурсы не используются.</w:t>
      </w:r>
    </w:p>
    <w:p w14:paraId="48D86B57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Природные ареалы растений и диких животных, пути миграции диких животных, экосистемы</w:t>
      </w:r>
    </w:p>
    <w:p w14:paraId="319AC13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При проведении работ на участке строго будут соблюдаться охранные мероприятия по сохранению растительности и животного мира, улучшению состояния встречающихся растительных и животных сообществ и их воспроизводству.</w:t>
      </w:r>
    </w:p>
    <w:p w14:paraId="18F46328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Немаловажное значение для животных, обитающих в районе месторождения, будут иметь находящиеся на месторождении трудящиеся. Поэтому наряду с усилением охраны растительного и животного мира необходимо проводить экологическое воспитание рабочих и служащих.</w:t>
      </w:r>
    </w:p>
    <w:p w14:paraId="728CC42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Для снижения воздействия на растительный и животный мир после прекращения работ на месторождении, предусматривается рекультивация нарушенных земель. В связи с этим, воздействие намечаемой деятельности на растительный и животный мир оценивается как </w:t>
      </w:r>
      <w:r w:rsidRPr="00545177">
        <w:rPr>
          <w:i/>
          <w:szCs w:val="28"/>
        </w:rPr>
        <w:t>допустимое</w:t>
      </w:r>
      <w:r w:rsidRPr="00545177">
        <w:rPr>
          <w:szCs w:val="28"/>
        </w:rPr>
        <w:t>.</w:t>
      </w:r>
    </w:p>
    <w:p w14:paraId="1D4D1496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311B75DE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Земли (в том числе изъятие земель), почвы (в том числе включая органический состав, эрозию, уплотнение, иные формы деградации).</w:t>
      </w:r>
    </w:p>
    <w:p w14:paraId="0585820B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На территории объекта отсутствуют земли оздоровительного, рекреационного и историко-культурного назначения. </w:t>
      </w:r>
    </w:p>
    <w:p w14:paraId="6DDAA2E8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Дополнительного изъятия земель проектом не предусмотрено.</w:t>
      </w:r>
    </w:p>
    <w:p w14:paraId="77A87FFC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1642E15B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Почвы (в том числе органический состав, эрозию, уплотнение, иные формы деградации)</w:t>
      </w:r>
    </w:p>
    <w:p w14:paraId="1ECC2ED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Прямое воздействие на почвы района расположения объекта производится при работах. Косвенное воздействие производится в результате выбросов загрязняющих веществ.</w:t>
      </w:r>
    </w:p>
    <w:p w14:paraId="1A2C915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Для предотвращения ветровой эрозии предусмотрено орошение водой рабочих мест ведения работ поливочной машиной. </w:t>
      </w:r>
    </w:p>
    <w:p w14:paraId="3AD198A4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После окончания работ будет предусмотрена рекультивация нарушаемых земель. </w:t>
      </w:r>
    </w:p>
    <w:p w14:paraId="15D9AF16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Воздействие </w:t>
      </w:r>
      <w:r w:rsidRPr="00545177">
        <w:rPr>
          <w:i/>
          <w:szCs w:val="28"/>
        </w:rPr>
        <w:t>допустимое</w:t>
      </w:r>
      <w:r w:rsidRPr="00545177">
        <w:rPr>
          <w:szCs w:val="28"/>
        </w:rPr>
        <w:t>.</w:t>
      </w:r>
    </w:p>
    <w:p w14:paraId="5B1E9ADC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4027C8C8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545177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Воды (в том числе </w:t>
      </w:r>
      <w:proofErr w:type="spellStart"/>
      <w:r w:rsidRPr="00545177">
        <w:rPr>
          <w:rFonts w:ascii="Times New Roman" w:hAnsi="Times New Roman" w:cs="Times New Roman"/>
          <w:sz w:val="28"/>
          <w:szCs w:val="28"/>
          <w:u w:val="single"/>
        </w:rPr>
        <w:t>гидроморфологические</w:t>
      </w:r>
      <w:proofErr w:type="spellEnd"/>
      <w:r w:rsidRPr="00545177">
        <w:rPr>
          <w:rFonts w:ascii="Times New Roman" w:hAnsi="Times New Roman" w:cs="Times New Roman"/>
          <w:sz w:val="28"/>
          <w:szCs w:val="28"/>
          <w:u w:val="single"/>
        </w:rPr>
        <w:t xml:space="preserve"> изменения, количество и качество вод)</w:t>
      </w:r>
    </w:p>
    <w:p w14:paraId="514E78D9" w14:textId="75BC4DE0" w:rsidR="00FC14C8" w:rsidRPr="00545177" w:rsidRDefault="00B0584A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0584A">
        <w:rPr>
          <w:rFonts w:ascii="Times New Roman" w:hAnsi="Times New Roman" w:cs="Times New Roman"/>
          <w:sz w:val="28"/>
          <w:szCs w:val="28"/>
        </w:rPr>
        <w:t>Ближайший водный объект – река Чаглинка расположенное в 9,5 км южнее от месторождения «Алексеевское».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7EEEA7" w14:textId="4BCD2683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Рассматриваемый объект находятся </w:t>
      </w:r>
      <w:r w:rsidR="00B0584A">
        <w:rPr>
          <w:rFonts w:ascii="Times New Roman" w:hAnsi="Times New Roman" w:cs="Times New Roman"/>
          <w:sz w:val="28"/>
          <w:szCs w:val="28"/>
        </w:rPr>
        <w:t>за пределами</w:t>
      </w:r>
      <w:r w:rsidRPr="00545177">
        <w:rPr>
          <w:rFonts w:ascii="Times New Roman" w:hAnsi="Times New Roman" w:cs="Times New Roman"/>
          <w:sz w:val="28"/>
          <w:szCs w:val="28"/>
        </w:rPr>
        <w:t xml:space="preserve"> водоохранной зон</w:t>
      </w:r>
      <w:r w:rsidR="00B0584A">
        <w:rPr>
          <w:rFonts w:ascii="Times New Roman" w:hAnsi="Times New Roman" w:cs="Times New Roman"/>
          <w:sz w:val="28"/>
          <w:szCs w:val="28"/>
        </w:rPr>
        <w:t>ы и полосы</w:t>
      </w:r>
      <w:r w:rsidRPr="00545177">
        <w:rPr>
          <w:rFonts w:ascii="Times New Roman" w:hAnsi="Times New Roman" w:cs="Times New Roman"/>
          <w:sz w:val="28"/>
          <w:szCs w:val="28"/>
        </w:rPr>
        <w:t xml:space="preserve"> р. </w:t>
      </w:r>
      <w:r w:rsidR="00B0584A">
        <w:rPr>
          <w:rFonts w:ascii="Times New Roman" w:hAnsi="Times New Roman" w:cs="Times New Roman"/>
          <w:sz w:val="28"/>
          <w:szCs w:val="28"/>
        </w:rPr>
        <w:t>Чаглинка</w:t>
      </w:r>
      <w:r w:rsidRPr="00545177">
        <w:rPr>
          <w:rFonts w:ascii="Times New Roman" w:hAnsi="Times New Roman" w:cs="Times New Roman"/>
          <w:sz w:val="28"/>
          <w:szCs w:val="28"/>
        </w:rPr>
        <w:t xml:space="preserve">. Водоохранная зона и полоса для реки Ишим установлена Постановлением акимата Акмолинской области от 3 мая 2022 года № А-5/222, и составляет - водоохранная зона 500 м и водоохранная полос </w:t>
      </w:r>
      <w:r w:rsidR="0007155B">
        <w:rPr>
          <w:rFonts w:ascii="Times New Roman" w:hAnsi="Times New Roman" w:cs="Times New Roman"/>
          <w:sz w:val="28"/>
          <w:szCs w:val="28"/>
        </w:rPr>
        <w:t>35</w:t>
      </w:r>
      <w:r w:rsidRPr="00545177">
        <w:rPr>
          <w:rFonts w:ascii="Times New Roman" w:hAnsi="Times New Roman" w:cs="Times New Roman"/>
          <w:sz w:val="28"/>
          <w:szCs w:val="28"/>
        </w:rPr>
        <w:t>-100 м.</w:t>
      </w:r>
    </w:p>
    <w:p w14:paraId="02966400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Угроза загрязнения подземных и поверхностных вод в процессе проведения оценочных работ на участке добычи сведена к минимуму, учитывая особенности технологических операций, не предусматривающих образование производственных стоков. </w:t>
      </w:r>
    </w:p>
    <w:p w14:paraId="5E86F39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Осуществление экологического контроля за производственной деятельностью предприятия позволит своевременно определить возможные превышения целевых показателей качества поверхностных и подземных вод с целью недопущения их загрязнения и сохранения экологического равновесия окружающей природной среды данного района.</w:t>
      </w:r>
    </w:p>
    <w:p w14:paraId="7A3CE743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0D80F7A5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Атмосферный воздух</w:t>
      </w:r>
    </w:p>
    <w:p w14:paraId="27A923A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Основными объектами пылеобразования при горнопроходческих работах.</w:t>
      </w:r>
    </w:p>
    <w:p w14:paraId="1EC86AD2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При эксплуатации объекта внедрены следующие мероприятия по охране атмосферного воздуха согласно приложению 4 Экологического кодекса Республики Казахстан:</w:t>
      </w:r>
    </w:p>
    <w:p w14:paraId="09B6CEE3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п.1, п.п.3 - выполнение мероприятий по предотвращению и снижению выбросов загрязняющих веществ от стационарных источников.</w:t>
      </w:r>
    </w:p>
    <w:p w14:paraId="452B90B7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При высыхании буртов ПРС и вскрышных пород с целью снижения запыления воздушной среды, в сухую ветреную погоду будет организован полив отвалов водой.</w:t>
      </w:r>
    </w:p>
    <w:p w14:paraId="335B837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п.1, п.п.9 - проведение работ по пылеподавлению на технологических дорогах, на рабочих площадках.</w:t>
      </w:r>
    </w:p>
    <w:p w14:paraId="58CE3A0D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 сухое летнее время с целью снижения запыленности воздушной среды будет организовано пылеподавление на технологических дорогах и рабочих площадках недропользования, увлажнение взорванной горной массы экскаваторных забоев водой. Вследствие применения операций по пылеподавлению, влажность транспортируемого полезного ископаемого составит более 10%, что позволит снизить пыление при их транспортировке. Полив технологических дорог также позволит снизить пыление от колес автосамосвалов, задействованных для транспортировки полезного ископаемого.</w:t>
      </w:r>
    </w:p>
    <w:p w14:paraId="7A95E0C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Воздействие намечаемой деятельности на атмосферный воздух оценивается как </w:t>
      </w:r>
      <w:r w:rsidRPr="00545177">
        <w:rPr>
          <w:i/>
          <w:szCs w:val="28"/>
        </w:rPr>
        <w:t>незначительное</w:t>
      </w:r>
      <w:r w:rsidRPr="00545177">
        <w:rPr>
          <w:szCs w:val="28"/>
        </w:rPr>
        <w:t>.</w:t>
      </w:r>
    </w:p>
    <w:p w14:paraId="62DE481A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048104A9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>Сопротивляемость к изменению климата экологических и социально-экономических систем</w:t>
      </w:r>
    </w:p>
    <w:p w14:paraId="649C7A7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lastRenderedPageBreak/>
        <w:t xml:space="preserve">Проведение ГРР будет оказывать положительный эффект в первую очередь, на областном и местном уровне воздействий. </w:t>
      </w:r>
    </w:p>
    <w:p w14:paraId="62142F54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 регионе может незначительно увеличиться первичная и вторичная занятость местного населения, что приведет к увеличению доходов населения и росту благосостояния.</w:t>
      </w:r>
    </w:p>
    <w:p w14:paraId="3B689783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Экономическая деятельность оказывает прямое и косвенное благоприятное воздействие на финансовое положение области (увеличению поступлений денежных средств в местный бюджет, развитию системы пенсионного обеспечения, образования и здравоохранения). </w:t>
      </w:r>
    </w:p>
    <w:p w14:paraId="368948F1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4BC022E9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 xml:space="preserve">Материальные активы, объекты историко-культурного наследия (в том числе архитектурные и археологические), ландшафты. </w:t>
      </w:r>
    </w:p>
    <w:p w14:paraId="25082AEC" w14:textId="1B70CCE4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Предлагаемый вариант работ рассчитан на срок отработки </w:t>
      </w:r>
      <w:r w:rsidR="00B0584A">
        <w:rPr>
          <w:szCs w:val="28"/>
        </w:rPr>
        <w:t>6</w:t>
      </w:r>
      <w:r w:rsidRPr="00545177">
        <w:rPr>
          <w:szCs w:val="28"/>
        </w:rPr>
        <w:t xml:space="preserve"> лет (2026-203</w:t>
      </w:r>
      <w:r w:rsidR="00B0584A">
        <w:rPr>
          <w:szCs w:val="28"/>
        </w:rPr>
        <w:t>1</w:t>
      </w:r>
      <w:r w:rsidRPr="00545177">
        <w:rPr>
          <w:szCs w:val="28"/>
        </w:rPr>
        <w:t xml:space="preserve"> г.). </w:t>
      </w:r>
    </w:p>
    <w:p w14:paraId="45637740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Отработка месторождений потребует больших затрат для обеспечения надежности и безопасности производственного процесса. Финансирование будет осуществляться за счёт собственных и привлеченных финансовых средств. </w:t>
      </w:r>
    </w:p>
    <w:p w14:paraId="13E2B216" w14:textId="77777777" w:rsidR="00FC14C8" w:rsidRPr="00545177" w:rsidRDefault="00FC14C8" w:rsidP="00FC14C8">
      <w:pPr>
        <w:pStyle w:val="af"/>
        <w:rPr>
          <w:szCs w:val="28"/>
          <w:u w:val="single"/>
        </w:rPr>
      </w:pPr>
    </w:p>
    <w:p w14:paraId="7AD6B5AE" w14:textId="77777777" w:rsidR="00FC14C8" w:rsidRPr="00545177" w:rsidRDefault="00FC14C8" w:rsidP="00FC14C8">
      <w:pPr>
        <w:pStyle w:val="af"/>
        <w:rPr>
          <w:szCs w:val="28"/>
          <w:u w:val="single"/>
        </w:rPr>
      </w:pPr>
      <w:r w:rsidRPr="00545177">
        <w:rPr>
          <w:szCs w:val="28"/>
          <w:u w:val="single"/>
        </w:rPr>
        <w:t xml:space="preserve">Ландшафты, а также взаимодействие указанных объектов </w:t>
      </w:r>
    </w:p>
    <w:p w14:paraId="1A04BD30" w14:textId="77777777" w:rsidR="00FC14C8" w:rsidRPr="00545177" w:rsidRDefault="00FC14C8" w:rsidP="00FC14C8">
      <w:pPr>
        <w:pStyle w:val="af"/>
        <w:spacing w:after="0"/>
        <w:rPr>
          <w:szCs w:val="28"/>
        </w:rPr>
      </w:pPr>
      <w:r w:rsidRPr="00545177">
        <w:rPr>
          <w:szCs w:val="28"/>
        </w:rPr>
        <w:t>На территории Акмолинской области выделяются лесостепная (</w:t>
      </w:r>
      <w:proofErr w:type="spellStart"/>
      <w:r w:rsidRPr="00545177">
        <w:rPr>
          <w:szCs w:val="28"/>
        </w:rPr>
        <w:t>колочная</w:t>
      </w:r>
      <w:proofErr w:type="spellEnd"/>
      <w:r w:rsidRPr="00545177">
        <w:rPr>
          <w:szCs w:val="28"/>
        </w:rPr>
        <w:t xml:space="preserve"> лесостепь), степень и сухостепная природные зоны.</w:t>
      </w:r>
    </w:p>
    <w:p w14:paraId="42DAA059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lang w:eastAsia="en-US"/>
        </w:rPr>
        <w:t>Территория Акмолинской области характеризуется преобладанием увалисто-холмисто-мелкосопочным рельефом. Северную часть занимает возвышенность Кокшетау, с общим уклоном местности – с востока на запад. На крайнем юго- востоке расположены горы Ерейментау. Северо-западная часть (прилегающая к долине Есиль, на участке ее поворота к северу) представляет равнинное плато, расчлененное сухими оврагами и балками. Крайняя северо-восточная часть Акмолинской области лежит в пределах Западно-Сибирской низменности.</w:t>
      </w:r>
    </w:p>
    <w:p w14:paraId="58463BDD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14:paraId="19737CB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6. Информация о предельных количественных и качественных показателях эмиссий, физических воздействий на окружающую среду, предельном количестве накопления отходов, а также их захоронения, если оно планируется в рамках намечаемой деятельности</w:t>
      </w:r>
    </w:p>
    <w:p w14:paraId="7E83E30C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Атмосферный воздух</w:t>
      </w:r>
    </w:p>
    <w:p w14:paraId="3387EF3D" w14:textId="77777777" w:rsidR="0007155B" w:rsidRPr="00812786" w:rsidRDefault="0007155B" w:rsidP="000715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812786">
        <w:rPr>
          <w:rFonts w:ascii="Times New Roman" w:hAnsi="Times New Roman" w:cs="Times New Roman"/>
          <w:sz w:val="26"/>
          <w:szCs w:val="26"/>
        </w:rPr>
        <w:t xml:space="preserve">Объект представлен одной промышленной площадкой.  </w:t>
      </w:r>
    </w:p>
    <w:p w14:paraId="00F1BA26" w14:textId="77777777" w:rsidR="0007155B" w:rsidRPr="009800C7" w:rsidRDefault="0007155B" w:rsidP="0007155B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9800C7">
        <w:rPr>
          <w:rFonts w:ascii="Times New Roman" w:hAnsi="Times New Roman" w:cs="Times New Roman"/>
          <w:sz w:val="26"/>
          <w:szCs w:val="26"/>
        </w:rPr>
        <w:t xml:space="preserve">В результате обследования месторождения «Алексеевское», было выявлено, что загрязняющие атмосферный воздух вещества, образующиеся в процессе производственной деятельности, отводятся через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9800C7">
        <w:rPr>
          <w:rFonts w:ascii="Times New Roman" w:hAnsi="Times New Roman" w:cs="Times New Roman"/>
          <w:sz w:val="26"/>
          <w:szCs w:val="26"/>
        </w:rPr>
        <w:t xml:space="preserve"> неорганизованных источника и 1 организованный источник выбросов загрязняющих веществ в</w:t>
      </w:r>
      <w:r>
        <w:rPr>
          <w:rFonts w:ascii="Times New Roman" w:hAnsi="Times New Roman" w:cs="Times New Roman"/>
          <w:sz w:val="26"/>
          <w:szCs w:val="26"/>
        </w:rPr>
        <w:t xml:space="preserve"> атмосферный воздух.</w:t>
      </w:r>
    </w:p>
    <w:p w14:paraId="547F061E" w14:textId="77777777" w:rsidR="0007155B" w:rsidRPr="009800C7" w:rsidRDefault="0007155B" w:rsidP="0007155B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9800C7">
        <w:rPr>
          <w:rFonts w:ascii="Times New Roman" w:hAnsi="Times New Roman" w:cs="Times New Roman"/>
          <w:sz w:val="26"/>
          <w:szCs w:val="26"/>
        </w:rPr>
        <w:t xml:space="preserve">От установленных источников в атмосферу выбрасывается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9800C7">
        <w:rPr>
          <w:rFonts w:ascii="Times New Roman" w:hAnsi="Times New Roman" w:cs="Times New Roman"/>
          <w:sz w:val="26"/>
          <w:szCs w:val="26"/>
        </w:rPr>
        <w:t xml:space="preserve"> загрязняющих веществ: азота диоксид, азот оксид, углерод, сера диоксид, </w:t>
      </w:r>
      <w:r>
        <w:rPr>
          <w:rFonts w:ascii="Times New Roman" w:hAnsi="Times New Roman" w:cs="Times New Roman"/>
          <w:sz w:val="26"/>
          <w:szCs w:val="26"/>
        </w:rPr>
        <w:t>бензин,</w:t>
      </w:r>
      <w:r w:rsidRPr="009800C7">
        <w:rPr>
          <w:rFonts w:ascii="Times New Roman" w:hAnsi="Times New Roman" w:cs="Times New Roman"/>
          <w:sz w:val="26"/>
          <w:szCs w:val="26"/>
        </w:rPr>
        <w:t xml:space="preserve"> сероводород, </w:t>
      </w:r>
      <w:r w:rsidRPr="009800C7">
        <w:rPr>
          <w:rFonts w:ascii="Times New Roman" w:hAnsi="Times New Roman" w:cs="Times New Roman"/>
          <w:sz w:val="26"/>
          <w:szCs w:val="26"/>
        </w:rPr>
        <w:lastRenderedPageBreak/>
        <w:t xml:space="preserve">углерод оксид, керосин, алканы С12-19, пыль неорганическая с содержанием двуокиси кремния 70- 20%. </w:t>
      </w:r>
    </w:p>
    <w:p w14:paraId="483A6D1F" w14:textId="77777777" w:rsidR="0007155B" w:rsidRDefault="0007155B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</w:p>
    <w:p w14:paraId="64F89BDF" w14:textId="42A82905" w:rsidR="00FC14C8" w:rsidRPr="00545177" w:rsidRDefault="00FC14C8" w:rsidP="00FC14C8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45177">
        <w:rPr>
          <w:rFonts w:ascii="Times New Roman" w:hAnsi="Times New Roman"/>
          <w:b/>
          <w:sz w:val="28"/>
          <w:szCs w:val="28"/>
        </w:rPr>
        <w:t>Возможный валовый выброс вредных веществ, отходящих от стационарных источников загрязнения атмосферы предприятия, составит:</w:t>
      </w:r>
    </w:p>
    <w:p w14:paraId="71EA54AC" w14:textId="77777777" w:rsidR="0007155B" w:rsidRPr="00BD7B4C" w:rsidRDefault="0007155B" w:rsidP="0007155B">
      <w:pPr>
        <w:ind w:firstLine="708"/>
        <w:contextualSpacing/>
        <w:rPr>
          <w:rFonts w:ascii="Times New Roman" w:hAnsi="Times New Roman" w:cs="Times New Roman"/>
          <w:sz w:val="26"/>
          <w:szCs w:val="26"/>
        </w:rPr>
      </w:pPr>
      <w:r w:rsidRPr="00BD7B4C">
        <w:rPr>
          <w:rFonts w:ascii="Times New Roman" w:hAnsi="Times New Roman" w:cs="Times New Roman"/>
          <w:sz w:val="26"/>
          <w:szCs w:val="26"/>
        </w:rPr>
        <w:t>Валовый выброс вредных веществ, отходящих от стационарных источников загрязнения атмосферы предприятия на период промышленной отработки месторождения, будет составлять:</w:t>
      </w:r>
    </w:p>
    <w:p w14:paraId="45BF4A63" w14:textId="77777777" w:rsidR="0007155B" w:rsidRPr="00BD7B4C" w:rsidRDefault="0007155B" w:rsidP="0007155B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D7B4C">
        <w:rPr>
          <w:rFonts w:ascii="Times New Roman" w:hAnsi="Times New Roman" w:cs="Times New Roman"/>
          <w:sz w:val="26"/>
          <w:szCs w:val="26"/>
        </w:rPr>
        <w:t xml:space="preserve">2026 год – </w:t>
      </w:r>
      <w:r w:rsidRPr="00797BEC">
        <w:rPr>
          <w:rFonts w:ascii="Times New Roman" w:hAnsi="Times New Roman" w:cs="Times New Roman"/>
          <w:b/>
          <w:sz w:val="26"/>
          <w:szCs w:val="26"/>
        </w:rPr>
        <w:t>80.253583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7B4C">
        <w:rPr>
          <w:rFonts w:ascii="Times New Roman" w:hAnsi="Times New Roman" w:cs="Times New Roman"/>
          <w:b/>
          <w:sz w:val="26"/>
          <w:szCs w:val="26"/>
        </w:rPr>
        <w:t>тонн в год;</w:t>
      </w:r>
    </w:p>
    <w:p w14:paraId="56959433" w14:textId="77777777" w:rsidR="0007155B" w:rsidRDefault="0007155B" w:rsidP="0007155B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D7B4C">
        <w:rPr>
          <w:rFonts w:ascii="Times New Roman" w:hAnsi="Times New Roman" w:cs="Times New Roman"/>
          <w:sz w:val="26"/>
          <w:szCs w:val="26"/>
        </w:rPr>
        <w:t>2027</w:t>
      </w:r>
      <w:r>
        <w:rPr>
          <w:rFonts w:ascii="Times New Roman" w:hAnsi="Times New Roman" w:cs="Times New Roman"/>
          <w:sz w:val="26"/>
          <w:szCs w:val="26"/>
        </w:rPr>
        <w:t xml:space="preserve"> год</w:t>
      </w:r>
      <w:r w:rsidRPr="00BD7B4C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797BEC">
        <w:rPr>
          <w:rFonts w:ascii="Times New Roman" w:hAnsi="Times New Roman" w:cs="Times New Roman"/>
          <w:b/>
          <w:sz w:val="26"/>
          <w:szCs w:val="26"/>
        </w:rPr>
        <w:t>80.81403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7B4C">
        <w:rPr>
          <w:rFonts w:ascii="Times New Roman" w:hAnsi="Times New Roman" w:cs="Times New Roman"/>
          <w:b/>
          <w:sz w:val="26"/>
          <w:szCs w:val="26"/>
        </w:rPr>
        <w:t>тонн в год;</w:t>
      </w:r>
    </w:p>
    <w:p w14:paraId="4363595F" w14:textId="77777777" w:rsidR="0007155B" w:rsidRPr="00BD7B4C" w:rsidRDefault="0007155B" w:rsidP="0007155B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BD7B4C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8-2029 гг.</w:t>
      </w:r>
      <w:r w:rsidRPr="00BD7B4C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797BEC">
        <w:rPr>
          <w:rFonts w:ascii="Times New Roman" w:hAnsi="Times New Roman" w:cs="Times New Roman"/>
          <w:b/>
          <w:sz w:val="26"/>
          <w:szCs w:val="26"/>
        </w:rPr>
        <w:t>80.89006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7B4C">
        <w:rPr>
          <w:rFonts w:ascii="Times New Roman" w:hAnsi="Times New Roman" w:cs="Times New Roman"/>
          <w:b/>
          <w:sz w:val="26"/>
          <w:szCs w:val="26"/>
        </w:rPr>
        <w:t>тонн в год;</w:t>
      </w:r>
    </w:p>
    <w:p w14:paraId="55685A1E" w14:textId="77777777" w:rsidR="0007155B" w:rsidRPr="00BD7B4C" w:rsidRDefault="0007155B" w:rsidP="0007155B">
      <w:pPr>
        <w:spacing w:after="0"/>
        <w:ind w:firstLine="709"/>
        <w:rPr>
          <w:rFonts w:ascii="Times New Roman" w:hAnsi="Times New Roman" w:cs="Times New Roman"/>
          <w:sz w:val="26"/>
          <w:szCs w:val="26"/>
        </w:rPr>
      </w:pPr>
      <w:r w:rsidRPr="00BD7B4C">
        <w:rPr>
          <w:rFonts w:ascii="Times New Roman" w:hAnsi="Times New Roman" w:cs="Times New Roman"/>
          <w:sz w:val="26"/>
          <w:szCs w:val="26"/>
        </w:rPr>
        <w:t>2030-2031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D7B4C">
        <w:rPr>
          <w:rFonts w:ascii="Times New Roman" w:hAnsi="Times New Roman" w:cs="Times New Roman"/>
          <w:sz w:val="26"/>
          <w:szCs w:val="26"/>
        </w:rPr>
        <w:t>гг.</w:t>
      </w:r>
      <w:r w:rsidRPr="00BD7B4C">
        <w:rPr>
          <w:rFonts w:ascii="Times New Roman" w:hAnsi="Times New Roman" w:cs="Times New Roman"/>
          <w:b/>
          <w:sz w:val="26"/>
          <w:szCs w:val="26"/>
        </w:rPr>
        <w:t xml:space="preserve"> – </w:t>
      </w:r>
      <w:r w:rsidRPr="00797BEC">
        <w:rPr>
          <w:rFonts w:ascii="Times New Roman" w:hAnsi="Times New Roman" w:cs="Times New Roman"/>
          <w:b/>
          <w:sz w:val="26"/>
          <w:szCs w:val="26"/>
        </w:rPr>
        <w:t>80.19829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D7B4C">
        <w:rPr>
          <w:rFonts w:ascii="Times New Roman" w:hAnsi="Times New Roman" w:cs="Times New Roman"/>
          <w:b/>
          <w:sz w:val="26"/>
          <w:szCs w:val="26"/>
        </w:rPr>
        <w:t>тонн в год.</w:t>
      </w:r>
    </w:p>
    <w:p w14:paraId="506CDB97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</w:p>
    <w:p w14:paraId="7B310E09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Отходы производства и потребления</w:t>
      </w:r>
    </w:p>
    <w:p w14:paraId="23F47BD6" w14:textId="77777777" w:rsidR="00FC14C8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В процессе эксплуатации проектируемого объекта образуются следующие виды отходов: </w:t>
      </w:r>
    </w:p>
    <w:tbl>
      <w:tblPr>
        <w:tblStyle w:val="11"/>
        <w:tblW w:w="8926" w:type="dxa"/>
        <w:jc w:val="center"/>
        <w:tblLook w:val="04A0" w:firstRow="1" w:lastRow="0" w:firstColumn="1" w:lastColumn="0" w:noHBand="0" w:noVBand="1"/>
      </w:tblPr>
      <w:tblGrid>
        <w:gridCol w:w="3256"/>
        <w:gridCol w:w="2976"/>
        <w:gridCol w:w="2694"/>
      </w:tblGrid>
      <w:tr w:rsidR="0007155B" w:rsidRPr="0007155B" w14:paraId="70EEAF67" w14:textId="77777777" w:rsidTr="0007155B">
        <w:trPr>
          <w:jc w:val="center"/>
        </w:trPr>
        <w:tc>
          <w:tcPr>
            <w:tcW w:w="3256" w:type="dxa"/>
            <w:shd w:val="clear" w:color="auto" w:fill="DBE5F1"/>
            <w:vAlign w:val="center"/>
          </w:tcPr>
          <w:p w14:paraId="58D945B8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Наименование отходов</w:t>
            </w:r>
          </w:p>
        </w:tc>
        <w:tc>
          <w:tcPr>
            <w:tcW w:w="2976" w:type="dxa"/>
            <w:shd w:val="clear" w:color="auto" w:fill="DBE5F1"/>
            <w:vAlign w:val="center"/>
          </w:tcPr>
          <w:p w14:paraId="225487E0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Объем накопленных отходов на существующее положение, тонн/год</w:t>
            </w:r>
          </w:p>
        </w:tc>
        <w:tc>
          <w:tcPr>
            <w:tcW w:w="2694" w:type="dxa"/>
            <w:shd w:val="clear" w:color="auto" w:fill="DBE5F1"/>
            <w:vAlign w:val="center"/>
          </w:tcPr>
          <w:p w14:paraId="1FED62A9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Лимит накопления, тонн/год</w:t>
            </w:r>
          </w:p>
        </w:tc>
      </w:tr>
      <w:tr w:rsidR="0007155B" w:rsidRPr="0007155B" w14:paraId="4F229357" w14:textId="77777777" w:rsidTr="0007155B">
        <w:trPr>
          <w:jc w:val="center"/>
        </w:trPr>
        <w:tc>
          <w:tcPr>
            <w:tcW w:w="3256" w:type="dxa"/>
            <w:vAlign w:val="center"/>
          </w:tcPr>
          <w:p w14:paraId="0FCC0399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976" w:type="dxa"/>
            <w:vAlign w:val="center"/>
          </w:tcPr>
          <w:p w14:paraId="20B2BDC1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694" w:type="dxa"/>
            <w:vAlign w:val="center"/>
          </w:tcPr>
          <w:p w14:paraId="04265F4C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</w:tr>
      <w:tr w:rsidR="0007155B" w:rsidRPr="0007155B" w14:paraId="236A8BFD" w14:textId="77777777" w:rsidTr="0007155B">
        <w:trPr>
          <w:jc w:val="center"/>
        </w:trPr>
        <w:tc>
          <w:tcPr>
            <w:tcW w:w="8926" w:type="dxa"/>
            <w:gridSpan w:val="3"/>
            <w:vAlign w:val="center"/>
          </w:tcPr>
          <w:p w14:paraId="7C7B5B4D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2026-2029гг.</w:t>
            </w:r>
          </w:p>
        </w:tc>
      </w:tr>
      <w:tr w:rsidR="0007155B" w:rsidRPr="0007155B" w14:paraId="56D4B6B2" w14:textId="77777777" w:rsidTr="0007155B">
        <w:trPr>
          <w:jc w:val="center"/>
        </w:trPr>
        <w:tc>
          <w:tcPr>
            <w:tcW w:w="3256" w:type="dxa"/>
            <w:vAlign w:val="center"/>
          </w:tcPr>
          <w:p w14:paraId="49893BD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2976" w:type="dxa"/>
            <w:vAlign w:val="center"/>
          </w:tcPr>
          <w:p w14:paraId="30CA1D52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  <w:vAlign w:val="center"/>
          </w:tcPr>
          <w:p w14:paraId="54D3A7AF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44 328,29582</w:t>
            </w:r>
          </w:p>
        </w:tc>
      </w:tr>
      <w:tr w:rsidR="0007155B" w:rsidRPr="0007155B" w14:paraId="6429C23A" w14:textId="77777777" w:rsidTr="0007155B">
        <w:trPr>
          <w:jc w:val="center"/>
        </w:trPr>
        <w:tc>
          <w:tcPr>
            <w:tcW w:w="3256" w:type="dxa"/>
            <w:vAlign w:val="center"/>
          </w:tcPr>
          <w:p w14:paraId="3971A780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в том числе отходов производства</w:t>
            </w:r>
          </w:p>
        </w:tc>
        <w:tc>
          <w:tcPr>
            <w:tcW w:w="2976" w:type="dxa"/>
            <w:vAlign w:val="center"/>
          </w:tcPr>
          <w:p w14:paraId="5833B55C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52C17EC9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44 327,32082</w:t>
            </w:r>
          </w:p>
        </w:tc>
      </w:tr>
      <w:tr w:rsidR="0007155B" w:rsidRPr="0007155B" w14:paraId="45F97FE9" w14:textId="77777777" w:rsidTr="0007155B">
        <w:trPr>
          <w:jc w:val="center"/>
        </w:trPr>
        <w:tc>
          <w:tcPr>
            <w:tcW w:w="3256" w:type="dxa"/>
            <w:vAlign w:val="center"/>
          </w:tcPr>
          <w:p w14:paraId="310D29C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отходов потребления</w:t>
            </w:r>
          </w:p>
        </w:tc>
        <w:tc>
          <w:tcPr>
            <w:tcW w:w="2976" w:type="dxa"/>
            <w:vAlign w:val="center"/>
          </w:tcPr>
          <w:p w14:paraId="610870B0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1BD7EF0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0,975</w:t>
            </w:r>
          </w:p>
        </w:tc>
      </w:tr>
      <w:tr w:rsidR="0007155B" w:rsidRPr="0007155B" w14:paraId="79EB32AD" w14:textId="77777777" w:rsidTr="0007155B">
        <w:trPr>
          <w:jc w:val="center"/>
        </w:trPr>
        <w:tc>
          <w:tcPr>
            <w:tcW w:w="8926" w:type="dxa"/>
            <w:gridSpan w:val="3"/>
            <w:shd w:val="clear" w:color="auto" w:fill="C6D9F1"/>
            <w:vAlign w:val="center"/>
          </w:tcPr>
          <w:p w14:paraId="0FACF978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Опасные отходы</w:t>
            </w:r>
          </w:p>
        </w:tc>
      </w:tr>
      <w:tr w:rsidR="0007155B" w:rsidRPr="0007155B" w14:paraId="7ADA763C" w14:textId="77777777" w:rsidTr="0007155B">
        <w:trPr>
          <w:jc w:val="center"/>
        </w:trPr>
        <w:tc>
          <w:tcPr>
            <w:tcW w:w="3256" w:type="dxa"/>
            <w:vAlign w:val="center"/>
          </w:tcPr>
          <w:p w14:paraId="4F041EFE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аккумуляторы</w:t>
            </w:r>
          </w:p>
        </w:tc>
        <w:tc>
          <w:tcPr>
            <w:tcW w:w="2976" w:type="dxa"/>
            <w:vAlign w:val="center"/>
          </w:tcPr>
          <w:p w14:paraId="6C25D1C2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01ECF75E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 xml:space="preserve">0,108  </w:t>
            </w:r>
          </w:p>
        </w:tc>
      </w:tr>
      <w:tr w:rsidR="0007155B" w:rsidRPr="0007155B" w14:paraId="702CD4CC" w14:textId="77777777" w:rsidTr="0007155B">
        <w:trPr>
          <w:jc w:val="center"/>
        </w:trPr>
        <w:tc>
          <w:tcPr>
            <w:tcW w:w="3256" w:type="dxa"/>
            <w:vAlign w:val="center"/>
          </w:tcPr>
          <w:p w14:paraId="29F6D8A2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масла</w:t>
            </w:r>
          </w:p>
        </w:tc>
        <w:tc>
          <w:tcPr>
            <w:tcW w:w="2976" w:type="dxa"/>
            <w:vAlign w:val="center"/>
          </w:tcPr>
          <w:p w14:paraId="7DE17A91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4E2803F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508,1</w:t>
            </w:r>
          </w:p>
        </w:tc>
      </w:tr>
      <w:tr w:rsidR="0007155B" w:rsidRPr="0007155B" w14:paraId="38D6EE39" w14:textId="77777777" w:rsidTr="0007155B">
        <w:trPr>
          <w:jc w:val="center"/>
        </w:trPr>
        <w:tc>
          <w:tcPr>
            <w:tcW w:w="3256" w:type="dxa"/>
            <w:vAlign w:val="center"/>
          </w:tcPr>
          <w:p w14:paraId="02EC8D8D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Ветошь промасленная</w:t>
            </w:r>
          </w:p>
        </w:tc>
        <w:tc>
          <w:tcPr>
            <w:tcW w:w="2976" w:type="dxa"/>
            <w:vAlign w:val="center"/>
          </w:tcPr>
          <w:p w14:paraId="47FEFC04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694" w:type="dxa"/>
            <w:vAlign w:val="center"/>
          </w:tcPr>
          <w:p w14:paraId="1C16FC3A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0,94</w:t>
            </w:r>
          </w:p>
        </w:tc>
      </w:tr>
      <w:tr w:rsidR="0007155B" w:rsidRPr="0007155B" w14:paraId="2C9CF08F" w14:textId="77777777" w:rsidTr="0007155B">
        <w:trPr>
          <w:jc w:val="center"/>
        </w:trPr>
        <w:tc>
          <w:tcPr>
            <w:tcW w:w="3256" w:type="dxa"/>
            <w:vAlign w:val="center"/>
          </w:tcPr>
          <w:p w14:paraId="287DE08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фильтры (топливные, масляные, воздушные)</w:t>
            </w:r>
          </w:p>
        </w:tc>
        <w:tc>
          <w:tcPr>
            <w:tcW w:w="2976" w:type="dxa"/>
            <w:vAlign w:val="center"/>
          </w:tcPr>
          <w:p w14:paraId="001BF430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694" w:type="dxa"/>
            <w:vAlign w:val="center"/>
          </w:tcPr>
          <w:p w14:paraId="4B73980C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0,04215</w:t>
            </w:r>
          </w:p>
        </w:tc>
      </w:tr>
      <w:tr w:rsidR="0007155B" w:rsidRPr="0007155B" w14:paraId="7FA2E84C" w14:textId="77777777" w:rsidTr="0007155B">
        <w:trPr>
          <w:jc w:val="center"/>
        </w:trPr>
        <w:tc>
          <w:tcPr>
            <w:tcW w:w="8926" w:type="dxa"/>
            <w:gridSpan w:val="3"/>
            <w:shd w:val="clear" w:color="auto" w:fill="C6D9F1"/>
            <w:vAlign w:val="center"/>
          </w:tcPr>
          <w:p w14:paraId="1BC56AE7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Неопасные отходы</w:t>
            </w:r>
          </w:p>
        </w:tc>
      </w:tr>
      <w:tr w:rsidR="0007155B" w:rsidRPr="0007155B" w14:paraId="1601A900" w14:textId="77777777" w:rsidTr="0007155B">
        <w:trPr>
          <w:jc w:val="center"/>
        </w:trPr>
        <w:tc>
          <w:tcPr>
            <w:tcW w:w="3256" w:type="dxa"/>
            <w:vAlign w:val="center"/>
          </w:tcPr>
          <w:p w14:paraId="27B69748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Смешанные коммунальные отходы (ТБО)</w:t>
            </w:r>
          </w:p>
        </w:tc>
        <w:tc>
          <w:tcPr>
            <w:tcW w:w="2976" w:type="dxa"/>
            <w:vAlign w:val="center"/>
          </w:tcPr>
          <w:p w14:paraId="22D67FBF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19EF8D05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0,975</w:t>
            </w:r>
          </w:p>
        </w:tc>
      </w:tr>
      <w:tr w:rsidR="0007155B" w:rsidRPr="0007155B" w14:paraId="573F20B1" w14:textId="77777777" w:rsidTr="0007155B">
        <w:trPr>
          <w:jc w:val="center"/>
        </w:trPr>
        <w:tc>
          <w:tcPr>
            <w:tcW w:w="3256" w:type="dxa"/>
            <w:vAlign w:val="center"/>
          </w:tcPr>
          <w:p w14:paraId="58BD109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Лом черных металлов</w:t>
            </w:r>
          </w:p>
        </w:tc>
        <w:tc>
          <w:tcPr>
            <w:tcW w:w="2976" w:type="dxa"/>
            <w:vAlign w:val="center"/>
          </w:tcPr>
          <w:p w14:paraId="6832FF92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0783682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</w:t>
            </w:r>
          </w:p>
        </w:tc>
      </w:tr>
      <w:tr w:rsidR="0007155B" w:rsidRPr="0007155B" w14:paraId="7992E87C" w14:textId="77777777" w:rsidTr="0007155B">
        <w:trPr>
          <w:jc w:val="center"/>
        </w:trPr>
        <w:tc>
          <w:tcPr>
            <w:tcW w:w="3256" w:type="dxa"/>
            <w:vAlign w:val="center"/>
          </w:tcPr>
          <w:p w14:paraId="2BD60A8E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Лом цветных металлов</w:t>
            </w:r>
          </w:p>
        </w:tc>
        <w:tc>
          <w:tcPr>
            <w:tcW w:w="2976" w:type="dxa"/>
            <w:vAlign w:val="center"/>
          </w:tcPr>
          <w:p w14:paraId="4D5FC4C6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6E0CBBF0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0,026</w:t>
            </w:r>
          </w:p>
        </w:tc>
      </w:tr>
      <w:tr w:rsidR="0007155B" w:rsidRPr="0007155B" w14:paraId="059EEAC5" w14:textId="77777777" w:rsidTr="0007155B">
        <w:trPr>
          <w:jc w:val="center"/>
        </w:trPr>
        <w:tc>
          <w:tcPr>
            <w:tcW w:w="3256" w:type="dxa"/>
            <w:vAlign w:val="center"/>
          </w:tcPr>
          <w:p w14:paraId="13EDD875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7155B">
              <w:rPr>
                <w:rFonts w:ascii="Times New Roman" w:eastAsia="Times New Roman" w:hAnsi="Times New Roman" w:cs="Times New Roman"/>
                <w:bCs/>
              </w:rPr>
              <w:t>Золошлак</w:t>
            </w:r>
            <w:proofErr w:type="spellEnd"/>
          </w:p>
        </w:tc>
        <w:tc>
          <w:tcPr>
            <w:tcW w:w="2976" w:type="dxa"/>
            <w:vAlign w:val="center"/>
          </w:tcPr>
          <w:p w14:paraId="2695BA47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5917EAFE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66,21767</w:t>
            </w:r>
          </w:p>
        </w:tc>
      </w:tr>
      <w:tr w:rsidR="0007155B" w:rsidRPr="0007155B" w14:paraId="7AE398BA" w14:textId="77777777" w:rsidTr="0007155B">
        <w:trPr>
          <w:jc w:val="center"/>
        </w:trPr>
        <w:tc>
          <w:tcPr>
            <w:tcW w:w="3256" w:type="dxa"/>
            <w:vAlign w:val="center"/>
          </w:tcPr>
          <w:p w14:paraId="3CA12889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автошины</w:t>
            </w:r>
          </w:p>
        </w:tc>
        <w:tc>
          <w:tcPr>
            <w:tcW w:w="2976" w:type="dxa"/>
            <w:vAlign w:val="center"/>
          </w:tcPr>
          <w:p w14:paraId="0D9CE69D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5747DC84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0,987</w:t>
            </w:r>
          </w:p>
        </w:tc>
      </w:tr>
      <w:tr w:rsidR="0007155B" w:rsidRPr="0007155B" w14:paraId="70C29273" w14:textId="77777777" w:rsidTr="0007155B">
        <w:trPr>
          <w:jc w:val="center"/>
        </w:trPr>
        <w:tc>
          <w:tcPr>
            <w:tcW w:w="3256" w:type="dxa"/>
            <w:vAlign w:val="center"/>
          </w:tcPr>
          <w:p w14:paraId="0867238A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Вскрышные породы</w:t>
            </w:r>
          </w:p>
        </w:tc>
        <w:tc>
          <w:tcPr>
            <w:tcW w:w="2976" w:type="dxa"/>
            <w:vAlign w:val="center"/>
          </w:tcPr>
          <w:p w14:paraId="77CB244B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473C562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43 750</w:t>
            </w:r>
          </w:p>
        </w:tc>
      </w:tr>
      <w:tr w:rsidR="0007155B" w:rsidRPr="0007155B" w14:paraId="0C1A3B8E" w14:textId="77777777" w:rsidTr="0007155B">
        <w:trPr>
          <w:jc w:val="center"/>
        </w:trPr>
        <w:tc>
          <w:tcPr>
            <w:tcW w:w="8926" w:type="dxa"/>
            <w:gridSpan w:val="3"/>
            <w:vAlign w:val="center"/>
          </w:tcPr>
          <w:p w14:paraId="73793604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2030-2031гг.</w:t>
            </w:r>
          </w:p>
        </w:tc>
      </w:tr>
      <w:tr w:rsidR="0007155B" w:rsidRPr="0007155B" w14:paraId="7318663E" w14:textId="77777777" w:rsidTr="0007155B">
        <w:trPr>
          <w:jc w:val="center"/>
        </w:trPr>
        <w:tc>
          <w:tcPr>
            <w:tcW w:w="3256" w:type="dxa"/>
            <w:vAlign w:val="center"/>
          </w:tcPr>
          <w:p w14:paraId="656B730D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Всего</w:t>
            </w:r>
          </w:p>
        </w:tc>
        <w:tc>
          <w:tcPr>
            <w:tcW w:w="2976" w:type="dxa"/>
            <w:vAlign w:val="center"/>
          </w:tcPr>
          <w:p w14:paraId="6629A9F7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-</w:t>
            </w:r>
          </w:p>
        </w:tc>
        <w:tc>
          <w:tcPr>
            <w:tcW w:w="2694" w:type="dxa"/>
            <w:vAlign w:val="center"/>
          </w:tcPr>
          <w:p w14:paraId="676A4650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578,29582</w:t>
            </w:r>
          </w:p>
        </w:tc>
      </w:tr>
      <w:tr w:rsidR="0007155B" w:rsidRPr="0007155B" w14:paraId="071A4963" w14:textId="77777777" w:rsidTr="0007155B">
        <w:trPr>
          <w:jc w:val="center"/>
        </w:trPr>
        <w:tc>
          <w:tcPr>
            <w:tcW w:w="3256" w:type="dxa"/>
            <w:vAlign w:val="center"/>
          </w:tcPr>
          <w:p w14:paraId="0A174A0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в том числе отходов производства</w:t>
            </w:r>
          </w:p>
        </w:tc>
        <w:tc>
          <w:tcPr>
            <w:tcW w:w="2976" w:type="dxa"/>
            <w:vAlign w:val="center"/>
          </w:tcPr>
          <w:p w14:paraId="3A8042AA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658A563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577,32082</w:t>
            </w:r>
          </w:p>
        </w:tc>
      </w:tr>
      <w:tr w:rsidR="0007155B" w:rsidRPr="0007155B" w14:paraId="0C50360B" w14:textId="77777777" w:rsidTr="0007155B">
        <w:trPr>
          <w:jc w:val="center"/>
        </w:trPr>
        <w:tc>
          <w:tcPr>
            <w:tcW w:w="3256" w:type="dxa"/>
            <w:vAlign w:val="center"/>
          </w:tcPr>
          <w:p w14:paraId="167E006F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отходов потребления</w:t>
            </w:r>
          </w:p>
        </w:tc>
        <w:tc>
          <w:tcPr>
            <w:tcW w:w="2976" w:type="dxa"/>
            <w:vAlign w:val="center"/>
          </w:tcPr>
          <w:p w14:paraId="7AE34EE7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7D56F70A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0,975</w:t>
            </w:r>
          </w:p>
        </w:tc>
      </w:tr>
      <w:tr w:rsidR="0007155B" w:rsidRPr="0007155B" w14:paraId="3E5523C4" w14:textId="77777777" w:rsidTr="0007155B">
        <w:trPr>
          <w:jc w:val="center"/>
        </w:trPr>
        <w:tc>
          <w:tcPr>
            <w:tcW w:w="8926" w:type="dxa"/>
            <w:gridSpan w:val="3"/>
            <w:shd w:val="clear" w:color="auto" w:fill="C6D9F1"/>
            <w:vAlign w:val="center"/>
          </w:tcPr>
          <w:p w14:paraId="7C35FDC3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Опасные отходы</w:t>
            </w:r>
          </w:p>
        </w:tc>
      </w:tr>
      <w:tr w:rsidR="0007155B" w:rsidRPr="0007155B" w14:paraId="32738092" w14:textId="77777777" w:rsidTr="0007155B">
        <w:trPr>
          <w:jc w:val="center"/>
        </w:trPr>
        <w:tc>
          <w:tcPr>
            <w:tcW w:w="3256" w:type="dxa"/>
            <w:vAlign w:val="center"/>
          </w:tcPr>
          <w:p w14:paraId="6349EED7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аккумуляторы</w:t>
            </w:r>
          </w:p>
        </w:tc>
        <w:tc>
          <w:tcPr>
            <w:tcW w:w="2976" w:type="dxa"/>
            <w:vAlign w:val="center"/>
          </w:tcPr>
          <w:p w14:paraId="265CA9BD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4BE88642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 xml:space="preserve">0,108  </w:t>
            </w:r>
          </w:p>
        </w:tc>
      </w:tr>
      <w:tr w:rsidR="0007155B" w:rsidRPr="0007155B" w14:paraId="6799748A" w14:textId="77777777" w:rsidTr="0007155B">
        <w:trPr>
          <w:jc w:val="center"/>
        </w:trPr>
        <w:tc>
          <w:tcPr>
            <w:tcW w:w="3256" w:type="dxa"/>
            <w:vAlign w:val="center"/>
          </w:tcPr>
          <w:p w14:paraId="14183EC7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масла</w:t>
            </w:r>
          </w:p>
        </w:tc>
        <w:tc>
          <w:tcPr>
            <w:tcW w:w="2976" w:type="dxa"/>
            <w:vAlign w:val="center"/>
          </w:tcPr>
          <w:p w14:paraId="012D14B0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397F66D9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508,1</w:t>
            </w:r>
          </w:p>
        </w:tc>
      </w:tr>
      <w:tr w:rsidR="0007155B" w:rsidRPr="0007155B" w14:paraId="2B637FE4" w14:textId="77777777" w:rsidTr="0007155B">
        <w:trPr>
          <w:jc w:val="center"/>
        </w:trPr>
        <w:tc>
          <w:tcPr>
            <w:tcW w:w="3256" w:type="dxa"/>
            <w:vAlign w:val="center"/>
          </w:tcPr>
          <w:p w14:paraId="0518B20C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Ветошь промасленная</w:t>
            </w:r>
          </w:p>
        </w:tc>
        <w:tc>
          <w:tcPr>
            <w:tcW w:w="2976" w:type="dxa"/>
            <w:vAlign w:val="center"/>
          </w:tcPr>
          <w:p w14:paraId="1F7316A8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694" w:type="dxa"/>
            <w:vAlign w:val="center"/>
          </w:tcPr>
          <w:p w14:paraId="1D38E98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0,94</w:t>
            </w:r>
          </w:p>
        </w:tc>
      </w:tr>
      <w:tr w:rsidR="0007155B" w:rsidRPr="0007155B" w14:paraId="7F7DD699" w14:textId="77777777" w:rsidTr="0007155B">
        <w:trPr>
          <w:jc w:val="center"/>
        </w:trPr>
        <w:tc>
          <w:tcPr>
            <w:tcW w:w="3256" w:type="dxa"/>
            <w:vAlign w:val="center"/>
          </w:tcPr>
          <w:p w14:paraId="232E08E0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Отработанные фильтры (топливные, масляные, воздушные)</w:t>
            </w:r>
          </w:p>
        </w:tc>
        <w:tc>
          <w:tcPr>
            <w:tcW w:w="2976" w:type="dxa"/>
            <w:tcBorders>
              <w:bottom w:val="nil"/>
            </w:tcBorders>
            <w:vAlign w:val="center"/>
          </w:tcPr>
          <w:p w14:paraId="381731F2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2694" w:type="dxa"/>
            <w:vAlign w:val="center"/>
          </w:tcPr>
          <w:p w14:paraId="6CE3F012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0,04215</w:t>
            </w:r>
          </w:p>
        </w:tc>
      </w:tr>
      <w:tr w:rsidR="0007155B" w:rsidRPr="0007155B" w14:paraId="7947B7B5" w14:textId="77777777" w:rsidTr="0007155B">
        <w:trPr>
          <w:jc w:val="center"/>
        </w:trPr>
        <w:tc>
          <w:tcPr>
            <w:tcW w:w="8926" w:type="dxa"/>
            <w:gridSpan w:val="3"/>
            <w:shd w:val="clear" w:color="auto" w:fill="C6D9F1"/>
            <w:vAlign w:val="center"/>
          </w:tcPr>
          <w:p w14:paraId="199EB9B9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/>
              </w:rPr>
              <w:t>Неопасные отходы</w:t>
            </w:r>
          </w:p>
        </w:tc>
      </w:tr>
      <w:tr w:rsidR="0007155B" w:rsidRPr="0007155B" w14:paraId="07F40E0F" w14:textId="77777777" w:rsidTr="0007155B">
        <w:trPr>
          <w:jc w:val="center"/>
        </w:trPr>
        <w:tc>
          <w:tcPr>
            <w:tcW w:w="3256" w:type="dxa"/>
            <w:vAlign w:val="center"/>
          </w:tcPr>
          <w:p w14:paraId="4F5FA239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Смешанные коммунальные отходы (ТБО)</w:t>
            </w:r>
          </w:p>
        </w:tc>
        <w:tc>
          <w:tcPr>
            <w:tcW w:w="2976" w:type="dxa"/>
            <w:vAlign w:val="center"/>
          </w:tcPr>
          <w:p w14:paraId="22DF4E22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6BC537A1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0,975</w:t>
            </w:r>
          </w:p>
        </w:tc>
      </w:tr>
      <w:tr w:rsidR="0007155B" w:rsidRPr="0007155B" w14:paraId="09565440" w14:textId="77777777" w:rsidTr="0007155B">
        <w:trPr>
          <w:jc w:val="center"/>
        </w:trPr>
        <w:tc>
          <w:tcPr>
            <w:tcW w:w="3256" w:type="dxa"/>
            <w:vAlign w:val="center"/>
          </w:tcPr>
          <w:p w14:paraId="38CBFE9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Лом черных металлов</w:t>
            </w:r>
          </w:p>
        </w:tc>
        <w:tc>
          <w:tcPr>
            <w:tcW w:w="2976" w:type="dxa"/>
            <w:vAlign w:val="center"/>
          </w:tcPr>
          <w:p w14:paraId="04F28F9F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687C730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</w:t>
            </w:r>
          </w:p>
        </w:tc>
      </w:tr>
      <w:tr w:rsidR="0007155B" w:rsidRPr="0007155B" w14:paraId="6E7AD488" w14:textId="77777777" w:rsidTr="0007155B">
        <w:trPr>
          <w:jc w:val="center"/>
        </w:trPr>
        <w:tc>
          <w:tcPr>
            <w:tcW w:w="3256" w:type="dxa"/>
            <w:vAlign w:val="center"/>
          </w:tcPr>
          <w:p w14:paraId="4FEADA44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Лом цветных металлов</w:t>
            </w:r>
          </w:p>
        </w:tc>
        <w:tc>
          <w:tcPr>
            <w:tcW w:w="2976" w:type="dxa"/>
            <w:vAlign w:val="center"/>
          </w:tcPr>
          <w:p w14:paraId="7FC43353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Align w:val="center"/>
          </w:tcPr>
          <w:p w14:paraId="24F1E214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0,026</w:t>
            </w:r>
          </w:p>
        </w:tc>
      </w:tr>
      <w:tr w:rsidR="0007155B" w:rsidRPr="0007155B" w14:paraId="0F9D19D9" w14:textId="77777777" w:rsidTr="0007155B">
        <w:trPr>
          <w:jc w:val="center"/>
        </w:trPr>
        <w:tc>
          <w:tcPr>
            <w:tcW w:w="3256" w:type="dxa"/>
            <w:vAlign w:val="center"/>
          </w:tcPr>
          <w:p w14:paraId="7938593E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07155B">
              <w:rPr>
                <w:rFonts w:ascii="Times New Roman" w:eastAsia="Times New Roman" w:hAnsi="Times New Roman" w:cs="Times New Roman"/>
                <w:bCs/>
              </w:rPr>
              <w:t>Золошлак</w:t>
            </w:r>
            <w:proofErr w:type="spellEnd"/>
          </w:p>
        </w:tc>
        <w:tc>
          <w:tcPr>
            <w:tcW w:w="2976" w:type="dxa"/>
            <w:vAlign w:val="center"/>
          </w:tcPr>
          <w:p w14:paraId="01C498D6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6E280036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66,21767</w:t>
            </w:r>
          </w:p>
        </w:tc>
      </w:tr>
      <w:tr w:rsidR="0007155B" w:rsidRPr="0007155B" w14:paraId="5231748F" w14:textId="77777777" w:rsidTr="0007155B">
        <w:trPr>
          <w:jc w:val="center"/>
        </w:trPr>
        <w:tc>
          <w:tcPr>
            <w:tcW w:w="3256" w:type="dxa"/>
            <w:vAlign w:val="center"/>
          </w:tcPr>
          <w:p w14:paraId="18F5588D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lastRenderedPageBreak/>
              <w:t>Отработанные автошины</w:t>
            </w:r>
          </w:p>
        </w:tc>
        <w:tc>
          <w:tcPr>
            <w:tcW w:w="2976" w:type="dxa"/>
            <w:vAlign w:val="center"/>
          </w:tcPr>
          <w:p w14:paraId="1752CDFA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5EB49E80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0,987</w:t>
            </w:r>
          </w:p>
        </w:tc>
      </w:tr>
      <w:tr w:rsidR="0007155B" w:rsidRPr="0007155B" w14:paraId="629A385A" w14:textId="77777777" w:rsidTr="0007155B">
        <w:trPr>
          <w:jc w:val="center"/>
        </w:trPr>
        <w:tc>
          <w:tcPr>
            <w:tcW w:w="3256" w:type="dxa"/>
            <w:vAlign w:val="center"/>
          </w:tcPr>
          <w:p w14:paraId="4E51668B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  <w:bCs/>
              </w:rPr>
            </w:pPr>
            <w:r w:rsidRPr="0007155B">
              <w:rPr>
                <w:rFonts w:ascii="Times New Roman" w:eastAsia="Times New Roman" w:hAnsi="Times New Roman" w:cs="Times New Roman"/>
                <w:bCs/>
              </w:rPr>
              <w:t>Вскрышные породы</w:t>
            </w:r>
          </w:p>
        </w:tc>
        <w:tc>
          <w:tcPr>
            <w:tcW w:w="2976" w:type="dxa"/>
            <w:vAlign w:val="center"/>
          </w:tcPr>
          <w:p w14:paraId="23D7BF1C" w14:textId="77777777" w:rsidR="0007155B" w:rsidRPr="0007155B" w:rsidRDefault="0007155B" w:rsidP="0007155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2694" w:type="dxa"/>
            <w:vAlign w:val="center"/>
          </w:tcPr>
          <w:p w14:paraId="26CB5C21" w14:textId="77777777" w:rsidR="0007155B" w:rsidRPr="0007155B" w:rsidRDefault="0007155B" w:rsidP="0007155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07155B">
              <w:rPr>
                <w:rFonts w:ascii="Times New Roman" w:eastAsia="Times New Roman" w:hAnsi="Times New Roman" w:cs="Times New Roman"/>
              </w:rPr>
              <w:t>-</w:t>
            </w:r>
          </w:p>
        </w:tc>
      </w:tr>
    </w:tbl>
    <w:p w14:paraId="0AEEACFE" w14:textId="77777777" w:rsidR="0007155B" w:rsidRPr="00545177" w:rsidRDefault="0007155B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2DF4A292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lang w:eastAsia="en-US"/>
        </w:rPr>
        <w:t xml:space="preserve">Временное хранение всех образующихся видов отходов на участке проведения работ предусматривается не более 6 месяцев. </w:t>
      </w:r>
    </w:p>
    <w:p w14:paraId="1D0D8F1C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lang w:eastAsia="en-US"/>
        </w:rPr>
        <w:t>В дальнейшем отходы в полном объеме вывозятся по договорам со специализированными организациями или утилизируются на предприятии.</w:t>
      </w:r>
    </w:p>
    <w:p w14:paraId="2C37F75F" w14:textId="77777777" w:rsidR="00FC14C8" w:rsidRPr="00545177" w:rsidRDefault="00FC14C8" w:rsidP="00FC14C8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/>
          <w:sz w:val="28"/>
          <w:szCs w:val="28"/>
          <w:u w:val="single"/>
          <w:lang w:eastAsia="en-US"/>
        </w:rPr>
      </w:pPr>
      <w:r w:rsidRPr="00545177">
        <w:rPr>
          <w:rFonts w:ascii="Times New Roman" w:eastAsiaTheme="minorHAnsi" w:hAnsi="Times New Roman"/>
          <w:sz w:val="28"/>
          <w:szCs w:val="28"/>
          <w:u w:val="single"/>
          <w:lang w:eastAsia="en-US"/>
        </w:rPr>
        <w:t>Вероятность возникновения аварий</w:t>
      </w:r>
    </w:p>
    <w:p w14:paraId="7A19B4F3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Возможные причины возникновения аварийных ситуаций при проведении проектируемых работ условно разделяются на две взаимосвязанные группы:</w:t>
      </w:r>
    </w:p>
    <w:p w14:paraId="473FCC62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отказы оборудования;</w:t>
      </w:r>
    </w:p>
    <w:p w14:paraId="75909A0C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- внешние воздействия природного и техногенного характера.</w:t>
      </w:r>
    </w:p>
    <w:p w14:paraId="4772C56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К природным факторам на рассматриваемой территории могут быть отнесены аварии, связанные с подвижками, вызываемыми разрядкой напряженного состояния литосферы и ее верхней оболочки (осадочной толщи), региональными неотектоническими движениями, в том числе по активным разломам, техногенными процессами, приводящими к наведенной сейсмичности. Также к природным факторам, способным инициировать аварии можно отнести экстремальные погодные условия – ураганные ветры, степные пожары от молний и др.</w:t>
      </w:r>
    </w:p>
    <w:p w14:paraId="190B005E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 xml:space="preserve">Антропогенные факторы включают в себя целый перечень причин аварий, связанных с техническими и организационными мероприятиями, в частности, внешними силовыми воздействиями, браком при монтаже и ремонте оборудования, </w:t>
      </w:r>
      <w:proofErr w:type="spellStart"/>
      <w:r w:rsidRPr="00545177">
        <w:rPr>
          <w:szCs w:val="28"/>
        </w:rPr>
        <w:t>коррозийности</w:t>
      </w:r>
      <w:proofErr w:type="spellEnd"/>
      <w:r w:rsidRPr="00545177">
        <w:rPr>
          <w:szCs w:val="28"/>
        </w:rPr>
        <w:t xml:space="preserve"> металла, ошибочными действиями обслуживающего персонала, </w:t>
      </w:r>
      <w:proofErr w:type="spellStart"/>
      <w:r w:rsidRPr="00545177">
        <w:rPr>
          <w:szCs w:val="28"/>
        </w:rPr>
        <w:t>террактами</w:t>
      </w:r>
      <w:proofErr w:type="spellEnd"/>
      <w:r w:rsidRPr="00545177">
        <w:rPr>
          <w:szCs w:val="28"/>
        </w:rPr>
        <w:t>.</w:t>
      </w:r>
    </w:p>
    <w:p w14:paraId="5619DFBA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Однако работа участка за весь период его существования показывает, что вероятность возникновения аварий от внешних источников крайне мала.</w:t>
      </w:r>
    </w:p>
    <w:p w14:paraId="39A8CAA5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С учетом вероятности возникновения аварийных ситуаций, одним из эффективных методов минимизации ущерба от потенциальных аварий различных групп является готовность к ним: разработка сценариев возможного развития событий при аварии и сценариев реагирования на них.</w:t>
      </w:r>
    </w:p>
    <w:p w14:paraId="1B73013F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Другие аварийные ситуации и инциденты, связанные с эксплуатацией объекта и его объектов, носят, как правило, локальный характер, ликвидируются силами работников предприятия в соответствии с Планом ликвидации аварий.</w:t>
      </w:r>
    </w:p>
    <w:p w14:paraId="2603978B" w14:textId="77777777" w:rsidR="00FC14C8" w:rsidRPr="00545177" w:rsidRDefault="00FC14C8" w:rsidP="00FC14C8">
      <w:pPr>
        <w:pStyle w:val="af"/>
        <w:spacing w:after="0"/>
        <w:rPr>
          <w:szCs w:val="28"/>
        </w:rPr>
      </w:pPr>
    </w:p>
    <w:p w14:paraId="72D9782C" w14:textId="77777777" w:rsidR="00FC14C8" w:rsidRPr="00545177" w:rsidRDefault="00FC14C8" w:rsidP="00FC14C8">
      <w:pPr>
        <w:pStyle w:val="af"/>
        <w:spacing w:after="0"/>
        <w:rPr>
          <w:b/>
          <w:szCs w:val="28"/>
        </w:rPr>
      </w:pPr>
      <w:r w:rsidRPr="00545177">
        <w:rPr>
          <w:b/>
          <w:szCs w:val="28"/>
        </w:rPr>
        <w:t>7. Информация</w:t>
      </w:r>
    </w:p>
    <w:p w14:paraId="1BE43788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Информация о вероятности возникновения аварий и опасных природных явлений, характерных соответственно для намечаемой деятельности и предполагаемого места ее осуществления </w:t>
      </w:r>
    </w:p>
    <w:p w14:paraId="1D332683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4E593BB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5054CA4C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lastRenderedPageBreak/>
        <w:t>Информация о возможных существенных вредных воздействиях на окружающую среду, связанных с рисками возникновения аварий и опасных природных явлений</w:t>
      </w:r>
    </w:p>
    <w:p w14:paraId="5FE1B83F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>Отсутствует.</w:t>
      </w:r>
    </w:p>
    <w:p w14:paraId="716645A4" w14:textId="77777777" w:rsidR="00FC14C8" w:rsidRPr="00545177" w:rsidRDefault="00FC14C8" w:rsidP="00FC14C8">
      <w:pPr>
        <w:pStyle w:val="af"/>
        <w:spacing w:after="0"/>
        <w:rPr>
          <w:szCs w:val="28"/>
        </w:rPr>
      </w:pPr>
    </w:p>
    <w:p w14:paraId="7B8A8EF9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0D9BE3F7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Неблагоприятные последствия для окружающей среды в результате возникновения</w:t>
      </w:r>
    </w:p>
    <w:p w14:paraId="308537CC" w14:textId="77777777" w:rsidR="00FC14C8" w:rsidRPr="00545177" w:rsidRDefault="00FC14C8" w:rsidP="00FC14C8">
      <w:pPr>
        <w:pStyle w:val="af"/>
        <w:ind w:firstLine="0"/>
        <w:rPr>
          <w:szCs w:val="28"/>
        </w:rPr>
      </w:pPr>
      <w:r w:rsidRPr="00545177">
        <w:rPr>
          <w:szCs w:val="28"/>
        </w:rPr>
        <w:t xml:space="preserve">возможного инцидента (розлив нефтепродуктов на земную поверхность) оцениваются как незначительные и локальные – пятно нефтепродуктов на поверхности земли, которые устраняются немедленно персоналом организации и направляются на осуществления процедур по обезвреживанию </w:t>
      </w:r>
      <w:proofErr w:type="spellStart"/>
      <w:r w:rsidRPr="00545177">
        <w:rPr>
          <w:szCs w:val="28"/>
        </w:rPr>
        <w:t>замазученных</w:t>
      </w:r>
      <w:proofErr w:type="spellEnd"/>
      <w:r w:rsidRPr="00545177">
        <w:rPr>
          <w:szCs w:val="28"/>
        </w:rPr>
        <w:t xml:space="preserve"> грунтов в специализированную организацию.</w:t>
      </w:r>
    </w:p>
    <w:p w14:paraId="01BA6860" w14:textId="77777777" w:rsidR="00FC14C8" w:rsidRPr="00545177" w:rsidRDefault="00FC14C8" w:rsidP="00FC14C8">
      <w:pPr>
        <w:pStyle w:val="af"/>
        <w:spacing w:after="0"/>
        <w:ind w:firstLine="0"/>
        <w:rPr>
          <w:szCs w:val="28"/>
        </w:rPr>
      </w:pPr>
    </w:p>
    <w:p w14:paraId="6742E77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Информация о мерах по предотвращению аварий и опасных природных явлений, и ликвидации их последствий, включая оповещение населения</w:t>
      </w:r>
    </w:p>
    <w:p w14:paraId="0CB7A498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Учитывая отдельность от жилой зоны, негативное воздействие отсутствует для населения и в окружающую среду. </w:t>
      </w:r>
    </w:p>
    <w:p w14:paraId="7C322133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  <w:r w:rsidRPr="00545177">
        <w:rPr>
          <w:rFonts w:ascii="Times New Roman" w:hAnsi="Times New Roman" w:cs="Times New Roman"/>
          <w:sz w:val="28"/>
          <w:szCs w:val="28"/>
        </w:rPr>
        <w:t xml:space="preserve">При возникновении опасных природных явлений, старатель уведомляет уполномоченные службы ЧС, гражданской защиты. </w:t>
      </w:r>
    </w:p>
    <w:p w14:paraId="2A30946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sz w:val="28"/>
          <w:szCs w:val="28"/>
        </w:rPr>
      </w:pPr>
    </w:p>
    <w:p w14:paraId="24B9ABB4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8. краткое описание:</w:t>
      </w:r>
    </w:p>
    <w:p w14:paraId="01FCD709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Краткое описание мер по предотвращению, сокращению, смягчению выявленных существенных воздействий намечаемой деятельности на окружающую среду</w:t>
      </w:r>
    </w:p>
    <w:p w14:paraId="5BD2220D" w14:textId="77777777" w:rsidR="00FC14C8" w:rsidRPr="00545177" w:rsidRDefault="00FC14C8" w:rsidP="00FC14C8">
      <w:pPr>
        <w:spacing w:after="0"/>
        <w:ind w:firstLine="709"/>
        <w:contextualSpacing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В целях снижения пылевыделения на территории месторождения предусмотрено </w:t>
      </w:r>
      <w:proofErr w:type="spellStart"/>
      <w:r w:rsidRPr="00545177">
        <w:rPr>
          <w:rFonts w:ascii="Times New Roman" w:hAnsi="Times New Roman"/>
          <w:bCs/>
          <w:sz w:val="28"/>
          <w:szCs w:val="28"/>
        </w:rPr>
        <w:t>гидроорошение</w:t>
      </w:r>
      <w:proofErr w:type="spellEnd"/>
      <w:r w:rsidRPr="00545177">
        <w:rPr>
          <w:rFonts w:ascii="Times New Roman" w:hAnsi="Times New Roman"/>
          <w:bCs/>
          <w:sz w:val="28"/>
          <w:szCs w:val="28"/>
        </w:rPr>
        <w:t xml:space="preserve"> пылящих поверхностей, внутриплощадочного дорожного полотна посредством поливомоечной машины. </w:t>
      </w:r>
    </w:p>
    <w:p w14:paraId="277125E4" w14:textId="77777777" w:rsidR="00FC14C8" w:rsidRPr="00545177" w:rsidRDefault="00FC14C8" w:rsidP="00FC14C8">
      <w:pPr>
        <w:pStyle w:val="af"/>
        <w:spacing w:after="0"/>
        <w:ind w:firstLine="0"/>
        <w:rPr>
          <w:szCs w:val="28"/>
        </w:rPr>
      </w:pPr>
    </w:p>
    <w:p w14:paraId="3AC76C27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0F8CE338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участках, где будут проводиться работы,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ПСП,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2AF5A706" w14:textId="77777777" w:rsidR="00FC14C8" w:rsidRPr="00545177" w:rsidRDefault="00FC14C8" w:rsidP="00FC14C8">
      <w:pPr>
        <w:pStyle w:val="ad"/>
        <w:ind w:left="709"/>
        <w:rPr>
          <w:rFonts w:ascii="Times New Roman" w:hAnsi="Times New Roman" w:cs="Times New Roman"/>
          <w:b/>
          <w:sz w:val="28"/>
          <w:szCs w:val="28"/>
        </w:rPr>
      </w:pPr>
    </w:p>
    <w:p w14:paraId="2D15563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Краткое описание возможных необратимых воздействий намечаемой деятельности на окружающую среду и причин, по которым </w:t>
      </w:r>
      <w:r w:rsidRPr="00545177">
        <w:rPr>
          <w:rFonts w:ascii="Times New Roman" w:hAnsi="Times New Roman" w:cs="Times New Roman"/>
          <w:b/>
          <w:sz w:val="28"/>
          <w:szCs w:val="28"/>
        </w:rPr>
        <w:lastRenderedPageBreak/>
        <w:t>инициатором принято решение о выполнении операций, влекущих таких воздействия</w:t>
      </w:r>
    </w:p>
    <w:p w14:paraId="26985471" w14:textId="77777777" w:rsidR="00FC14C8" w:rsidRPr="00545177" w:rsidRDefault="00FC14C8" w:rsidP="00FC14C8">
      <w:pPr>
        <w:pStyle w:val="af"/>
        <w:rPr>
          <w:szCs w:val="28"/>
        </w:rPr>
      </w:pPr>
      <w:r w:rsidRPr="00545177">
        <w:rPr>
          <w:szCs w:val="28"/>
        </w:rPr>
        <w:t>По результатам проведённой оценки воздействия на окружающую среду, отражённым в настоящем Отчёте, необратимых воздействия на окружающую среду выявлено не было. В связи с чем, оценка возможных необратимых воздействий на окружающую среду не представляется возможным ввиду их отсутствия</w:t>
      </w:r>
    </w:p>
    <w:p w14:paraId="3CEC4732" w14:textId="77777777" w:rsidR="00FC14C8" w:rsidRPr="00545177" w:rsidRDefault="00FC14C8" w:rsidP="00FC14C8">
      <w:pPr>
        <w:pStyle w:val="af"/>
        <w:spacing w:after="0"/>
        <w:ind w:firstLine="0"/>
        <w:rPr>
          <w:szCs w:val="28"/>
        </w:rPr>
      </w:pPr>
    </w:p>
    <w:p w14:paraId="4F742254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 xml:space="preserve">Краткое описание способов и мер восстановления окружающей среды в случаях прекращения намечаемой деятельности. </w:t>
      </w:r>
    </w:p>
    <w:p w14:paraId="3555D033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После полной отработки запасов полезного ископаемого будет проведена рекультивация месторождения.</w:t>
      </w:r>
    </w:p>
    <w:p w14:paraId="38210CA5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Направление рекультивации нарушенных земель для объектов недропользования определяется инженерно-геологическими и горнотехническими условиями на момент завершения работ.</w:t>
      </w:r>
    </w:p>
    <w:p w14:paraId="66EEE0CB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7532B731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45177">
        <w:rPr>
          <w:rFonts w:ascii="Times New Roman" w:hAnsi="Times New Roman" w:cs="Times New Roman"/>
          <w:b/>
          <w:sz w:val="28"/>
          <w:szCs w:val="28"/>
          <w:u w:val="single"/>
        </w:rPr>
        <w:t xml:space="preserve">Краткое описание мер по компенсации потерь биоразнообразия, если намечаемая деятельность может привести к таким потерям. </w:t>
      </w:r>
    </w:p>
    <w:p w14:paraId="35AABEC6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545177">
        <w:rPr>
          <w:rFonts w:ascii="Times New Roman" w:hAnsi="Times New Roman" w:cs="Times New Roman"/>
          <w:bCs/>
          <w:sz w:val="28"/>
          <w:szCs w:val="28"/>
        </w:rPr>
        <w:t>Для обеспечения быстрого восстановления растительного покрова на участке эксплуатации, требующие снятие поверхностного почвенно-растительного слоя, с целью сохранения растительного покрова, являющегося кормовой базой растительноядных животных, предусматривается снятие ПРС, складирование его в места, позволяющие обеспечить его сохранность на время проведение работ, и последующее возвращение его на поверхность в ходе рекультивации.</w:t>
      </w:r>
    </w:p>
    <w:p w14:paraId="72658206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3B3A270D" w14:textId="77777777" w:rsidR="00FC14C8" w:rsidRPr="00545177" w:rsidRDefault="00FC14C8" w:rsidP="00FC14C8">
      <w:pPr>
        <w:pStyle w:val="ad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45177">
        <w:rPr>
          <w:rFonts w:ascii="Times New Roman" w:hAnsi="Times New Roman" w:cs="Times New Roman"/>
          <w:b/>
          <w:sz w:val="28"/>
          <w:szCs w:val="28"/>
        </w:rPr>
        <w:t>9. Список источников информации, полученной в ходе выполнения оценки воздействия на окружающую среду</w:t>
      </w:r>
    </w:p>
    <w:p w14:paraId="40F8F5C3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Экологический кодекс Республики Казахстан от 02.01.2021 г. № 400-VI ЗРК. г. Нур-Султан, 2021 г.;</w:t>
      </w:r>
    </w:p>
    <w:p w14:paraId="29F92417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«Об утверждении Методики определения нормативов эмиссий в окружающую среду», Приказ Министра экологии, геологии и природных ресурсов Республики Казахстан от 10 марта 2021 года № 63.</w:t>
      </w:r>
    </w:p>
    <w:p w14:paraId="55EA4F8F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ГОСТ 17.2.3.02-78 «Охрана природы. Атмосфера. Правила установления допустимых выбросов вредных веществ промышленными предприятиями»;</w:t>
      </w:r>
    </w:p>
    <w:p w14:paraId="18FB0C8D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Методика расчета концентраций в атмосферном воздухе вредных веществ, содержащихся в выбросах предприятий. ОНД-86. </w:t>
      </w:r>
      <w:proofErr w:type="spellStart"/>
      <w:r w:rsidRPr="00545177">
        <w:rPr>
          <w:rFonts w:ascii="Times New Roman" w:hAnsi="Times New Roman"/>
          <w:bCs/>
          <w:sz w:val="28"/>
          <w:szCs w:val="28"/>
        </w:rPr>
        <w:t>Госкомгидромет</w:t>
      </w:r>
      <w:proofErr w:type="spellEnd"/>
      <w:r w:rsidRPr="00545177">
        <w:rPr>
          <w:rFonts w:ascii="Times New Roman" w:hAnsi="Times New Roman"/>
          <w:bCs/>
          <w:sz w:val="28"/>
          <w:szCs w:val="28"/>
        </w:rPr>
        <w:t xml:space="preserve">, Ленинград </w:t>
      </w:r>
      <w:proofErr w:type="spellStart"/>
      <w:r w:rsidRPr="00545177">
        <w:rPr>
          <w:rFonts w:ascii="Times New Roman" w:hAnsi="Times New Roman"/>
          <w:bCs/>
          <w:sz w:val="28"/>
          <w:szCs w:val="28"/>
        </w:rPr>
        <w:t>гидрометеоиздат</w:t>
      </w:r>
      <w:proofErr w:type="spellEnd"/>
      <w:r w:rsidRPr="00545177">
        <w:rPr>
          <w:rFonts w:ascii="Times New Roman" w:hAnsi="Times New Roman"/>
          <w:bCs/>
          <w:sz w:val="28"/>
          <w:szCs w:val="28"/>
        </w:rPr>
        <w:t>, 1997;</w:t>
      </w:r>
    </w:p>
    <w:p w14:paraId="721D2A67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Санитарные правила «Санитарно-эпидемиологические требования к санитарно-защитным зонам объектов, являющихся объектами воздействия на среду обитания и здоровье человека» утвержденным приказом и.о. Министра здравоохранения Республики Казахстан от 11 января 2022 года № ҚР ДСМ-2;</w:t>
      </w:r>
    </w:p>
    <w:p w14:paraId="63F09F90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lastRenderedPageBreak/>
        <w:t xml:space="preserve">Рекомендации по делению предприятий на категории опасности в зависимости от массы </w:t>
      </w:r>
      <w:proofErr w:type="gramStart"/>
      <w:r w:rsidRPr="00545177">
        <w:rPr>
          <w:rFonts w:ascii="Times New Roman" w:hAnsi="Times New Roman"/>
          <w:bCs/>
          <w:sz w:val="28"/>
          <w:szCs w:val="28"/>
        </w:rPr>
        <w:t>и  видового</w:t>
      </w:r>
      <w:proofErr w:type="gramEnd"/>
      <w:r w:rsidRPr="00545177">
        <w:rPr>
          <w:rFonts w:ascii="Times New Roman" w:hAnsi="Times New Roman"/>
          <w:bCs/>
          <w:sz w:val="28"/>
          <w:szCs w:val="28"/>
        </w:rPr>
        <w:t xml:space="preserve"> состава выбрасываемых в атмосферу загрязняющих веществ, Алматы, 1995 г;</w:t>
      </w:r>
    </w:p>
    <w:p w14:paraId="212631C1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п.5. От предприятий по переработке нерудных материалов и производству пористых заполнителей. Приложение №11 к Приказу Министра охраны окружающей среды Республики Казахстан от 18.04.2008 №100-п;</w:t>
      </w:r>
    </w:p>
    <w:p w14:paraId="514F75CE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Методика расчета нормативов выбросов от неорганизованных источников Приложение №13 к Приказу Министра охраны окружающей среды Республики Казахстан от 18.04.2008 №100-п. </w:t>
      </w:r>
    </w:p>
    <w:p w14:paraId="70673E9E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в атмосферу от предприятий по производству строительных материалов Приложение №11 к Приказу Министра охраны окружающей среды Республики Казахстан от 18.04.2008 №100-п;</w:t>
      </w:r>
    </w:p>
    <w:p w14:paraId="43DA2AFC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Методика расчета выбросов загрязняющих веществ от автотранспортных предприятий (раздел 3) Приложение №3 к Приказу Министра охраны окружающей среды Республики Казахстан от 18.04.2008 №100-п;</w:t>
      </w:r>
    </w:p>
    <w:p w14:paraId="23AFDB7E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 xml:space="preserve">Санитарные правила </w:t>
      </w:r>
      <w:r w:rsidRPr="00545177"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объектов», </w:t>
      </w:r>
      <w:r w:rsidRPr="00545177">
        <w:rPr>
          <w:rFonts w:ascii="Times New Roman" w:hAnsi="Times New Roman"/>
          <w:bCs/>
          <w:sz w:val="28"/>
          <w:szCs w:val="28"/>
        </w:rPr>
        <w:t>утвержденные Приказом Министра здравоохранения Республики Казахстан от 20 февраля 2023 года № 26;</w:t>
      </w:r>
    </w:p>
    <w:p w14:paraId="2C84315D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«Санитарно-эпидемиологические требования к обеспечению радиационной безопасности», утвержденные Приказом Министра здравоохранения Республики Казахстан от 2 августа 2022 года № ҚР ДСМ-71;</w:t>
      </w:r>
    </w:p>
    <w:p w14:paraId="6666864A" w14:textId="77777777" w:rsidR="00FC14C8" w:rsidRPr="00545177" w:rsidRDefault="00FC14C8" w:rsidP="00FC14C8">
      <w:pPr>
        <w:pStyle w:val="a7"/>
        <w:numPr>
          <w:ilvl w:val="0"/>
          <w:numId w:val="2"/>
        </w:numPr>
        <w:spacing w:after="0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 w:rsidRPr="00545177">
        <w:rPr>
          <w:rFonts w:ascii="Times New Roman" w:hAnsi="Times New Roman"/>
          <w:bCs/>
          <w:sz w:val="28"/>
          <w:szCs w:val="28"/>
        </w:rPr>
        <w:t>Программный комплекс «ЭРА-Воздух» Версия 3.0. Расчет приземных концентраций и выпуск томов ПДВ. Новосибирск 2004;</w:t>
      </w:r>
    </w:p>
    <w:p w14:paraId="063AA5FE" w14:textId="77777777" w:rsidR="00FC14C8" w:rsidRPr="00545177" w:rsidRDefault="00FC14C8" w:rsidP="00FC14C8">
      <w:pPr>
        <w:suppressAutoHyphens/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14:paraId="4D6FB08E" w14:textId="77777777" w:rsidR="00040F19" w:rsidRDefault="00040F19"/>
    <w:sectPr w:rsidR="00040F19" w:rsidSect="00B02FFB">
      <w:pgSz w:w="11910" w:h="16840"/>
      <w:pgMar w:top="1134" w:right="850" w:bottom="1134" w:left="1701" w:header="397" w:footer="103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85B44C8"/>
    <w:multiLevelType w:val="hybridMultilevel"/>
    <w:tmpl w:val="E9FE331A"/>
    <w:lvl w:ilvl="0" w:tplc="8780B3F0">
      <w:start w:val="65535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2" w15:restartNumberingAfterBreak="0">
    <w:nsid w:val="213E0FF6"/>
    <w:multiLevelType w:val="multilevel"/>
    <w:tmpl w:val="5A0E3070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51A155A4"/>
    <w:multiLevelType w:val="hybridMultilevel"/>
    <w:tmpl w:val="71D43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004854"/>
    <w:multiLevelType w:val="multilevel"/>
    <w:tmpl w:val="305484E2"/>
    <w:lvl w:ilvl="0">
      <w:start w:val="1"/>
      <w:numFmt w:val="decimal"/>
      <w:lvlText w:val="%1."/>
      <w:lvlJc w:val="left"/>
      <w:pPr>
        <w:tabs>
          <w:tab w:val="num" w:pos="2445"/>
        </w:tabs>
        <w:ind w:left="2445" w:hanging="136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53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</w:rPr>
    </w:lvl>
  </w:abstractNum>
  <w:abstractNum w:abstractNumId="5" w15:restartNumberingAfterBreak="0">
    <w:nsid w:val="796026FB"/>
    <w:multiLevelType w:val="hybridMultilevel"/>
    <w:tmpl w:val="2200BFDA"/>
    <w:lvl w:ilvl="0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 w16cid:durableId="1996183362">
    <w:abstractNumId w:val="5"/>
  </w:num>
  <w:num w:numId="2" w16cid:durableId="655260787">
    <w:abstractNumId w:val="3"/>
  </w:num>
  <w:num w:numId="3" w16cid:durableId="337583835">
    <w:abstractNumId w:val="2"/>
  </w:num>
  <w:num w:numId="4" w16cid:durableId="1265453987">
    <w:abstractNumId w:val="1"/>
  </w:num>
  <w:num w:numId="5" w16cid:durableId="2145731379">
    <w:abstractNumId w:val="4"/>
  </w:num>
  <w:num w:numId="6" w16cid:durableId="261687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9AD"/>
    <w:rsid w:val="00040F19"/>
    <w:rsid w:val="0007155B"/>
    <w:rsid w:val="00097BBB"/>
    <w:rsid w:val="001B014C"/>
    <w:rsid w:val="001D735B"/>
    <w:rsid w:val="002249F3"/>
    <w:rsid w:val="003826FD"/>
    <w:rsid w:val="003A1E45"/>
    <w:rsid w:val="003C47BC"/>
    <w:rsid w:val="003E6754"/>
    <w:rsid w:val="004E2462"/>
    <w:rsid w:val="00551731"/>
    <w:rsid w:val="005B536A"/>
    <w:rsid w:val="006C3D22"/>
    <w:rsid w:val="009B4C39"/>
    <w:rsid w:val="00A67BA9"/>
    <w:rsid w:val="00AB3BE3"/>
    <w:rsid w:val="00B02FFB"/>
    <w:rsid w:val="00B0584A"/>
    <w:rsid w:val="00BA0AFA"/>
    <w:rsid w:val="00C0613C"/>
    <w:rsid w:val="00C91162"/>
    <w:rsid w:val="00C92947"/>
    <w:rsid w:val="00CB3A10"/>
    <w:rsid w:val="00D419AD"/>
    <w:rsid w:val="00FC14C8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09DD0"/>
  <w15:chartTrackingRefBased/>
  <w15:docId w15:val="{DC99FDEE-0B72-4151-BFF3-18261D4D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4C8"/>
    <w:pPr>
      <w:spacing w:after="200"/>
      <w:ind w:firstLine="0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D41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1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1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1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19A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19A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19A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19A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1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1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1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19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19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19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19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19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19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19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1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19AD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1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19A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19AD"/>
    <w:rPr>
      <w:i/>
      <w:iCs/>
      <w:color w:val="404040" w:themeColor="text1" w:themeTint="BF"/>
    </w:rPr>
  </w:style>
  <w:style w:type="paragraph" w:styleId="a7">
    <w:name w:val="List Paragraph"/>
    <w:aliases w:val="Абзац,strich,2nd Tier Header,маркированный,Citation List,Heading1,Colorful List - Accent 11,Paragraph,Resume Title,List Paragraph Char Char,Bullet 1,List Paragraph1,b1,Number_1,SGLText List Paragraph,new,lp1,Normal Sentence,ListPar1,list1,罗"/>
    <w:basedOn w:val="a"/>
    <w:link w:val="a8"/>
    <w:uiPriority w:val="34"/>
    <w:qFormat/>
    <w:rsid w:val="00D419AD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419AD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41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419AD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D419AD"/>
    <w:rPr>
      <w:b/>
      <w:bCs/>
      <w:smallCaps/>
      <w:color w:val="2F5496" w:themeColor="accent1" w:themeShade="BF"/>
      <w:spacing w:val="5"/>
    </w:rPr>
  </w:style>
  <w:style w:type="paragraph" w:styleId="ad">
    <w:name w:val="No Spacing"/>
    <w:aliases w:val="Razdel,Обя,мелкий,мой рабочий,2 уровень,свой,норма,Айгерим,No Spacing1,Без интервала11,14 TNR,МОЙ СТИЛЬ,Без интеБез интервала,No Spacing11,No Spacing,для писем,Без интервала21,Без интерваль,No Spacing12,No Spacing121,Без интервала28,Елжан"/>
    <w:link w:val="ae"/>
    <w:uiPriority w:val="1"/>
    <w:qFormat/>
    <w:rsid w:val="00FC14C8"/>
    <w:pPr>
      <w:ind w:firstLine="0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customStyle="1" w:styleId="ae">
    <w:name w:val="Без интервала Знак"/>
    <w:aliases w:val="Razdel Знак,Обя Знак,мелкий Знак,мой рабочий Знак,2 уровень Знак,свой Знак,норма Знак,Айгерим Знак,No Spacing1 Знак,Без интервала11 Знак,14 TNR Знак,МОЙ СТИЛЬ Знак,Без интеБез интервала Знак,No Spacing11 Знак,No Spacing Знак"/>
    <w:basedOn w:val="a0"/>
    <w:link w:val="ad"/>
    <w:uiPriority w:val="1"/>
    <w:qFormat/>
    <w:locked/>
    <w:rsid w:val="00FC14C8"/>
    <w:rPr>
      <w:rFonts w:ascii="Calibri" w:eastAsia="Times New Roman" w:hAnsi="Calibri" w:cs="Calibri"/>
      <w:kern w:val="0"/>
      <w:lang w:eastAsia="ru-RU"/>
      <w14:ligatures w14:val="none"/>
    </w:rPr>
  </w:style>
  <w:style w:type="paragraph" w:customStyle="1" w:styleId="af">
    <w:name w:val="А_Параграф"/>
    <w:basedOn w:val="a"/>
    <w:qFormat/>
    <w:rsid w:val="00FC14C8"/>
    <w:pPr>
      <w:spacing w:after="400"/>
      <w:ind w:firstLine="709"/>
      <w:contextualSpacing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Абзац списка Знак"/>
    <w:aliases w:val="Абзац Знак,strich Знак,2nd Tier Header Знак,маркированный Знак,Citation List Знак,Heading1 Знак,Colorful List - Accent 11 Знак,Paragraph Знак,Resume Title Знак,List Paragraph Char Char Знак,Bullet 1 Знак,List Paragraph1 Знак,b1 Знак"/>
    <w:basedOn w:val="a0"/>
    <w:link w:val="a7"/>
    <w:uiPriority w:val="34"/>
    <w:qFormat/>
    <w:rsid w:val="00FC14C8"/>
  </w:style>
  <w:style w:type="character" w:customStyle="1" w:styleId="FontStyle228">
    <w:name w:val="Font Style228"/>
    <w:basedOn w:val="a0"/>
    <w:uiPriority w:val="99"/>
    <w:rsid w:val="00FC14C8"/>
    <w:rPr>
      <w:rFonts w:ascii="Arial" w:hAnsi="Arial" w:cs="Arial"/>
      <w:sz w:val="22"/>
      <w:szCs w:val="22"/>
    </w:rPr>
  </w:style>
  <w:style w:type="character" w:customStyle="1" w:styleId="FontStyle930">
    <w:name w:val="Font Style930"/>
    <w:basedOn w:val="a0"/>
    <w:uiPriority w:val="99"/>
    <w:rsid w:val="00FC14C8"/>
    <w:rPr>
      <w:rFonts w:ascii="Times New Roman" w:hAnsi="Times New Roman" w:cs="Times New Roman"/>
      <w:sz w:val="28"/>
      <w:szCs w:val="28"/>
    </w:rPr>
  </w:style>
  <w:style w:type="table" w:customStyle="1" w:styleId="101">
    <w:name w:val="Сетка таблицы101"/>
    <w:basedOn w:val="a1"/>
    <w:next w:val="af0"/>
    <w:uiPriority w:val="59"/>
    <w:rsid w:val="00B0584A"/>
    <w:pPr>
      <w:ind w:firstLine="0"/>
      <w:jc w:val="left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0">
    <w:name w:val="Table Grid"/>
    <w:basedOn w:val="a1"/>
    <w:uiPriority w:val="39"/>
    <w:rsid w:val="00B058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0"/>
    <w:uiPriority w:val="59"/>
    <w:rsid w:val="0007155B"/>
    <w:pPr>
      <w:ind w:firstLine="0"/>
    </w:pPr>
    <w:rPr>
      <w:rFonts w:ascii="Calibri" w:eastAsia="Times New Roman" w:hAnsi="Calibri" w:cs="Calibri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3951</Words>
  <Characters>22526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Багдат Баймурат</dc:creator>
  <cp:keywords/>
  <dc:description/>
  <cp:lastModifiedBy>Багдат Баймурат</cp:lastModifiedBy>
  <cp:revision>3</cp:revision>
  <dcterms:created xsi:type="dcterms:W3CDTF">2026-07-15T06:05:00Z</dcterms:created>
  <dcterms:modified xsi:type="dcterms:W3CDTF">2026-08-18T14:40:00Z</dcterms:modified>
</cp:coreProperties>
</file>