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D920F">
      <w:pPr>
        <w:pStyle w:val="3"/>
        <w:spacing w:before="50" w:line="323" w:lineRule="exact"/>
        <w:ind w:left="5" w:leftChars="0" w:firstLine="699" w:firstLineChars="291"/>
        <w:jc w:val="center"/>
        <w:rPr>
          <w:rFonts w:hint="default" w:ascii="Times New Roman" w:hAnsi="Times New Roman" w:cs="Times New Roman"/>
          <w:u w:val="none"/>
          <w:lang w:val="ru-RU"/>
        </w:rPr>
      </w:pPr>
      <w:r>
        <w:rPr>
          <w:rFonts w:hint="default" w:ascii="Times New Roman" w:hAnsi="Times New Roman" w:cs="Times New Roman"/>
          <w:u w:val="none"/>
          <w:lang w:val="ru-RU"/>
        </w:rPr>
        <w:t>НЕТЕХНИЧЕСКОЕ РЕЗЮМЕ</w:t>
      </w:r>
    </w:p>
    <w:p w14:paraId="40D05FBD">
      <w:pPr>
        <w:pStyle w:val="3"/>
        <w:spacing w:before="50"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Общие</w:t>
      </w:r>
      <w:r>
        <w:rPr>
          <w:rFonts w:ascii="Times New Roman" w:hAnsi="Times New Roman" w:cs="Times New Roman"/>
          <w:spacing w:val="-4"/>
          <w:u w:val="none"/>
        </w:rPr>
        <w:t xml:space="preserve"> </w:t>
      </w:r>
      <w:r>
        <w:rPr>
          <w:rFonts w:ascii="Times New Roman" w:hAnsi="Times New Roman" w:cs="Times New Roman"/>
          <w:spacing w:val="-2"/>
          <w:u w:val="none"/>
        </w:rPr>
        <w:t>сведения</w:t>
      </w:r>
    </w:p>
    <w:p w14:paraId="746933C1">
      <w:pPr>
        <w:ind w:left="5" w:leftChars="0" w:right="288" w:firstLine="698" w:firstLineChars="2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производственной площадки: РК, Кызылординская область, Кызылорд</w:t>
      </w:r>
      <w:r>
        <w:rPr>
          <w:rFonts w:ascii="Times New Roman" w:hAnsi="Times New Roman" w:cs="Times New Roman"/>
          <w:sz w:val="24"/>
          <w:szCs w:val="24"/>
          <w:lang w:val="kk-KZ"/>
        </w:rPr>
        <w:t>инская область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bCs/>
          <w:sz w:val="24"/>
          <w:szCs w:val="24"/>
          <w:lang w:val="kk-KZ"/>
        </w:rPr>
        <w:t>Сырдарьинский район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AC03A">
      <w:pPr>
        <w:ind w:left="5" w:leftChars="0" w:firstLine="698" w:firstLineChars="291"/>
        <w:jc w:val="both"/>
        <w:rPr>
          <w:rFonts w:ascii="Times New Roman" w:hAnsi="Times New Roman" w:eastAsia="SimSun" w:cs="Times New Roman"/>
          <w:sz w:val="24"/>
          <w:szCs w:val="24"/>
          <w:lang w:val="kk-KZ"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Строительная площадка расположена на </w:t>
      </w:r>
      <w:r>
        <w:rPr>
          <w:rFonts w:ascii="Times New Roman" w:hAnsi="Times New Roman" w:eastAsia="SimSun" w:cs="Times New Roman"/>
          <w:sz w:val="24"/>
          <w:szCs w:val="24"/>
        </w:rPr>
        <w:t>нефтяном месторождении Коныс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, Сырдарьинский район, </w:t>
      </w:r>
      <w:r>
        <w:rPr>
          <w:rFonts w:ascii="Times New Roman" w:hAnsi="Times New Roman" w:eastAsia="SimSun" w:cs="Times New Roman"/>
          <w:color w:val="000000"/>
          <w:sz w:val="24"/>
          <w:szCs w:val="24"/>
        </w:rPr>
        <w:t>Кызылординская область, Республика Казахстан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. Границы строительной зоны определены владельцем. Общая площадь проекта строительства газовой электростанции на </w:t>
      </w:r>
      <w:r>
        <w:rPr>
          <w:rFonts w:ascii="Times New Roman" w:hAnsi="Times New Roman" w:eastAsia="SimSun" w:cs="Times New Roman"/>
          <w:sz w:val="24"/>
          <w:szCs w:val="24"/>
        </w:rPr>
        <w:t xml:space="preserve">нефтяном месторождении Коныс 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  <w:t>составляе</w:t>
      </w:r>
      <w:bookmarkStart w:id="9" w:name="_GoBack"/>
      <w:bookmarkEnd w:id="9"/>
      <w:r>
        <w:rPr>
          <w:rFonts w:ascii="Times New Roman" w:hAnsi="Times New Roman" w:eastAsia="SimSun" w:cs="Times New Roman"/>
          <w:sz w:val="24"/>
          <w:szCs w:val="24"/>
          <w:lang w:eastAsia="zh-CN"/>
        </w:rPr>
        <w:t>т 0,48 гектара.</w:t>
      </w:r>
    </w:p>
    <w:p w14:paraId="2AC73B26">
      <w:pPr>
        <w:ind w:left="5" w:leftChars="0" w:firstLine="701" w:firstLineChars="291"/>
        <w:jc w:val="center"/>
        <w:rPr>
          <w:rFonts w:ascii="Times New Roman" w:hAnsi="Times New Roman" w:eastAsia="SimSun" w:cs="Times New Roman"/>
          <w:b/>
          <w:bCs/>
          <w:sz w:val="24"/>
        </w:rPr>
      </w:pPr>
      <w:r>
        <w:rPr>
          <w:rFonts w:ascii="Times New Roman" w:hAnsi="Times New Roman" w:eastAsia="SimSun" w:cs="Times New Roman"/>
          <w:b/>
          <w:bCs/>
          <w:sz w:val="24"/>
          <w:szCs w:val="24"/>
          <w:lang w:val="kk-KZ" w:eastAsia="zh-CN"/>
        </w:rPr>
        <w:t>Рис 1</w:t>
      </w:r>
      <w:r>
        <w:rPr>
          <w:rFonts w:ascii="Times New Roman" w:hAnsi="Times New Roman" w:eastAsia="SimSun" w:cs="Times New Roman"/>
          <w:b/>
          <w:bCs/>
          <w:sz w:val="24"/>
          <w:szCs w:val="24"/>
          <w:lang w:eastAsia="zh-CN"/>
        </w:rPr>
        <w:t>. Карта - Общий вид строительной площадки</w:t>
      </w:r>
    </w:p>
    <w:p w14:paraId="3834EA63">
      <w:pPr>
        <w:spacing w:line="360" w:lineRule="auto"/>
        <w:ind w:left="5" w:leftChars="0" w:firstLine="698" w:firstLineChars="291"/>
        <w:rPr>
          <w:rFonts w:ascii="Times New Roman" w:hAnsi="Times New Roman" w:eastAsia="SimSu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1052830</wp:posOffset>
                </wp:positionV>
                <wp:extent cx="744855" cy="511175"/>
                <wp:effectExtent l="60960" t="95250" r="70485" b="984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0000">
                          <a:off x="4243705" y="8126095"/>
                          <a:ext cx="744855" cy="511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38.7pt;margin-top:82.9pt;height:40.25pt;width:58.65pt;rotation:983040f;z-index:251659264;v-text-anchor:middle;mso-width-relative:page;mso-height-relative:page;" filled="f" stroked="t" coordsize="21600,21600" o:gfxdata="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MMhPKNsAAAALAQAADwAAAAAAAAABACAA&#10;AAAiAAAAZHJzL2Rvd25yZXYueG1sUEsBAhQAFAAAAAgAh07iQOz1ZAZ8AgAA4wQAAA4AAAAAAAAA&#10;AQAgAAAAKgEAAGRycy9lMm9Eb2MueG1sUEsFBgAAAAAGAAYAWQEAABg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SimSun" w:cs="Times New Roman"/>
          <w:sz w:val="24"/>
          <w:lang w:val="en-US"/>
        </w:rPr>
        <w:drawing>
          <wp:inline distT="0" distB="0" distL="114300" distR="114300">
            <wp:extent cx="5943600" cy="3060065"/>
            <wp:effectExtent l="0" t="0" r="0" b="6985"/>
            <wp:docPr id="1" name="图片 1" descr="90ae4dec1b7ee9dcc16e7720bedd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ae4dec1b7ee9dcc16e7720beddb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9852" cy="306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99AD">
      <w:pPr>
        <w:ind w:left="5" w:leftChars="0" w:firstLine="698" w:firstLineChars="291"/>
        <w:jc w:val="both"/>
        <w:rPr>
          <w:rFonts w:ascii="Times New Roman" w:hAnsi="Times New Roman" w:eastAsia="SimSun" w:cs="Times New Roman"/>
          <w:sz w:val="24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>В административном отношении площадка инженерных изысканий расположена в Сырдарьинском районе Кызылординской области. Участок работ находится в 70 м юго-восточнее существующей установки подготовки природного газа и в 200 м северо-западнее центрального пункта подготовки нефти. Расстояние от площадки работ до центра города Кызылорды составляет около 150 км.</w:t>
      </w:r>
    </w:p>
    <w:p w14:paraId="17C07C96">
      <w:pPr>
        <w:ind w:left="5" w:leftChars="0" w:right="288" w:firstLine="640" w:firstLineChars="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E784FD9">
      <w:pPr>
        <w:pStyle w:val="3"/>
        <w:spacing w:before="1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Проектные</w:t>
      </w:r>
      <w:r>
        <w:rPr>
          <w:rFonts w:ascii="Times New Roman" w:hAnsi="Times New Roman" w:cs="Times New Roman"/>
          <w:spacing w:val="-2"/>
          <w:u w:val="none"/>
        </w:rPr>
        <w:t xml:space="preserve"> решения</w:t>
      </w:r>
    </w:p>
    <w:p w14:paraId="29FBA3EF">
      <w:pPr>
        <w:adjustRightInd w:val="0"/>
        <w:ind w:left="5" w:leftChars="0" w:right="430" w:firstLine="698" w:firstLineChars="2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9A38A6">
      <w:pPr>
        <w:pStyle w:val="10"/>
        <w:tabs>
          <w:tab w:val="left" w:pos="377"/>
        </w:tabs>
        <w:spacing w:line="240" w:lineRule="auto"/>
        <w:ind w:left="5" w:leftChars="0" w:right="288" w:firstLine="698" w:firstLineChars="291"/>
        <w:rPr>
          <w:rFonts w:ascii="Times New Roman" w:hAnsi="Times New Roman" w:eastAsia="SimSun" w:cs="Times New Roman"/>
          <w:color w:val="000000"/>
          <w:szCs w:val="24"/>
          <w:lang w:val="ru-RU"/>
        </w:rPr>
      </w:pPr>
      <w:r>
        <w:rPr>
          <w:rFonts w:ascii="Times New Roman" w:hAnsi="Times New Roman" w:eastAsia="SimSun" w:cs="Times New Roman"/>
          <w:color w:val="000000"/>
          <w:szCs w:val="24"/>
          <w:lang w:val="ru-RU"/>
        </w:rPr>
        <w:t xml:space="preserve">Целью </w:t>
      </w:r>
      <w:r>
        <w:rPr>
          <w:rFonts w:ascii="Times New Roman" w:hAnsi="Times New Roman" w:eastAsia="SimSun" w:cs="Times New Roman"/>
          <w:szCs w:val="24"/>
          <w:lang w:val="ru-RU"/>
        </w:rPr>
        <w:t xml:space="preserve">данного </w:t>
      </w:r>
      <w:r>
        <w:rPr>
          <w:rFonts w:ascii="Times New Roman" w:hAnsi="Times New Roman" w:eastAsia="SimSun" w:cs="Times New Roman"/>
          <w:color w:val="000000"/>
          <w:szCs w:val="24"/>
          <w:lang w:val="ru-RU"/>
        </w:rPr>
        <w:t xml:space="preserve">проекта является строительство комплексного интегрированного энергоблока, </w:t>
      </w:r>
      <w:r>
        <w:rPr>
          <w:rFonts w:ascii="Times New Roman" w:hAnsi="Times New Roman" w:eastAsia="SimSun" w:cs="Times New Roman"/>
          <w:szCs w:val="24"/>
          <w:lang w:val="ru-RU"/>
        </w:rPr>
        <w:t>параллельно работающей газовой электростанции мощностью 14,0 МВт, использующей 20 газогенераторных установок мощностью 700 кВт каждая, модели 700</w:t>
      </w:r>
      <w:r>
        <w:rPr>
          <w:rFonts w:ascii="Times New Roman" w:hAnsi="Times New Roman" w:eastAsia="SimSun" w:cs="Times New Roman"/>
          <w:szCs w:val="24"/>
          <w:lang w:val="en-US"/>
        </w:rPr>
        <w:t>GJZPWT</w:t>
      </w:r>
      <w:r>
        <w:rPr>
          <w:rFonts w:ascii="Times New Roman" w:hAnsi="Times New Roman" w:eastAsia="SimSun" w:cs="Times New Roman"/>
          <w:szCs w:val="24"/>
          <w:lang w:val="ru-RU"/>
        </w:rPr>
        <w:t xml:space="preserve"> </w:t>
      </w:r>
      <w:r>
        <w:rPr>
          <w:rFonts w:ascii="Times New Roman" w:hAnsi="Times New Roman" w:eastAsia="SimSun" w:cs="Times New Roman"/>
          <w:szCs w:val="24"/>
        </w:rPr>
        <w:t xml:space="preserve">/ RT </w:t>
      </w:r>
      <w:r>
        <w:rPr>
          <w:rFonts w:ascii="Times New Roman" w:hAnsi="Times New Roman" w:eastAsia="SimSun" w:cs="Times New Roman"/>
          <w:szCs w:val="24"/>
          <w:vertAlign w:val="subscript"/>
        </w:rPr>
        <w:t xml:space="preserve">- </w:t>
      </w:r>
      <w:r>
        <w:rPr>
          <w:rFonts w:ascii="Times New Roman" w:hAnsi="Times New Roman" w:eastAsia="SimSun" w:cs="Times New Roman"/>
          <w:szCs w:val="24"/>
        </w:rPr>
        <w:t xml:space="preserve">GS3; работающей в режиме изолированной сети с однопроводной </w:t>
      </w:r>
      <w:r>
        <w:rPr>
          <w:rFonts w:ascii="Times New Roman" w:hAnsi="Times New Roman" w:eastAsia="SimSun" w:cs="Times New Roman"/>
          <w:szCs w:val="24"/>
          <w:lang w:val="ru-RU"/>
        </w:rPr>
        <w:t xml:space="preserve">шиной 6 кВ и двумя секциями, обеспечивающей стабильное и надежное электроснабжение </w:t>
      </w:r>
      <w:r>
        <w:rPr>
          <w:rFonts w:ascii="Times New Roman" w:hAnsi="Times New Roman" w:eastAsia="SimSun" w:cs="Times New Roman"/>
          <w:szCs w:val="24"/>
        </w:rPr>
        <w:t xml:space="preserve">нефтепромысловых нагрузок </w:t>
      </w:r>
      <w:r>
        <w:rPr>
          <w:rFonts w:ascii="Times New Roman" w:hAnsi="Times New Roman" w:eastAsia="SimSun" w:cs="Times New Roman"/>
          <w:szCs w:val="24"/>
          <w:lang w:val="ru-RU"/>
        </w:rPr>
        <w:t>, таких как добыча нефти, закачка воды, сбор и транспортировка, а также автоматических систем управления.</w:t>
      </w:r>
    </w:p>
    <w:p w14:paraId="007C1C0A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Полный комплекс электрогенерации включает 20 модульных генераторных установок, а также высоковольтные и низковольтные распределительные устройства для распределения электроэнергии, имеющие ту же модульную структуру. Установки работают параллельно, с номинальным выходным напряжением 6300 В и номинальной частотой 50 Гц, и оснащены полной системой газоснабжения, системой распределения электроэнергии, системой охлаждения и всем вспомогательным оборудованием.</w:t>
      </w:r>
    </w:p>
    <w:p w14:paraId="344C560B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В рамках данного проекта планируется прокладка газопроводов, которые будут соединены с газовым блоком и модульной газогенераторной установкой, оснащенной запорными клапанами. Эти клапаны являются стандартными компонентами генераторной установки.</w:t>
      </w:r>
    </w:p>
    <w:p w14:paraId="6F8DB67E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20 газогенераторных установок выполнены по модульной конструкции заводской сборки. Весь комплекс состоит из 20 газогенераторных модулей, сети инженерных трубопроводов и заводской системы автоматизации и сигнализации.</w:t>
      </w:r>
    </w:p>
    <w:p w14:paraId="2A9EE497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В соответствии с техническими условиями и проектными требованиями проекта, в рамках данного проекта планируется прокладка сети газопроводов и одновременная установка резервуаров для хранения сточных вод типа ЕД-1, которые будут поставляться в сборе вместе с модулями выработки электроэнергии.</w:t>
      </w:r>
    </w:p>
    <w:p w14:paraId="2CB44ACD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Подробная схема компонентов стандартизированной модульной газовой электростанции:</w:t>
      </w:r>
    </w:p>
    <w:p w14:paraId="1BA65B10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(1) Контейнерная блочно-модульная газогенераторная установка (БМ ГПУ): вся установка изготавливается на заводе, номинальное выходное напряжение одной установки составляет 6,3 кВ, а мощность установки определяется в соответствии с проектными требованиями;</w:t>
      </w:r>
    </w:p>
    <w:p w14:paraId="58003E51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(2) Модульное устройство распределения напряжения генератора: оснащенное распределительным шкафом электросети 0,4 кВ (РУСН-0,4 кВ);</w:t>
      </w:r>
    </w:p>
    <w:p w14:paraId="1C638A89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(3) Модульная операционная: используется для размещения операторов на месте;</w:t>
      </w:r>
    </w:p>
    <w:p w14:paraId="31C66CD5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(4) Вспомогательное оборудование: включая резервуары для сбора и хранения технологических жидкостей, резервуары для хранения противопожарных жидкостей, технологические трубопроводные коридоры и интегрированную трубопроводную сеть внутри станции; конкретные характеристики и модели вспомогательного оборудования будут определены на этапе подготовки строительных чертежей, а окончательные характеристики будут основаны на чертежах общего расположения электростанции.</w:t>
      </w:r>
    </w:p>
    <w:p w14:paraId="2449F0A9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/>
          <w:color w:val="000000"/>
          <w:kern w:val="2"/>
          <w:lang w:val="ru-RU"/>
        </w:rPr>
      </w:pPr>
      <w:bookmarkStart w:id="0" w:name="_Toc22404"/>
      <w:r>
        <w:rPr>
          <w:rFonts w:ascii="Times New Roman" w:hAnsi="Times New Roman" w:eastAsia="SimSun"/>
          <w:color w:val="000000"/>
          <w:kern w:val="2"/>
          <w:lang w:val="ru-RU"/>
        </w:rPr>
        <w:t xml:space="preserve">Проектируемый газопровод начинается от точки подключения к существующей газовой сети на территории объекта. Надземные газопроводы предусматриваются диаметрами </w:t>
      </w:r>
      <w:r>
        <w:rPr>
          <w:rFonts w:ascii="Times New Roman" w:hAnsi="Times New Roman" w:eastAsia="SimSun"/>
          <w:color w:val="000000"/>
          <w:kern w:val="2"/>
          <w:lang w:val="en-US"/>
        </w:rPr>
        <w:t>DN</w:t>
      </w:r>
      <w:r>
        <w:rPr>
          <w:rFonts w:ascii="Times New Roman" w:hAnsi="Times New Roman" w:eastAsia="SimSun"/>
          <w:color w:val="000000"/>
          <w:kern w:val="2"/>
          <w:lang w:val="ru-RU"/>
        </w:rPr>
        <w:t xml:space="preserve">80, </w:t>
      </w:r>
      <w:r>
        <w:rPr>
          <w:rFonts w:ascii="Times New Roman" w:hAnsi="Times New Roman" w:eastAsia="SimSun"/>
          <w:color w:val="000000"/>
          <w:kern w:val="2"/>
          <w:lang w:val="en-US"/>
        </w:rPr>
        <w:t>DN</w:t>
      </w:r>
      <w:r>
        <w:rPr>
          <w:rFonts w:ascii="Times New Roman" w:hAnsi="Times New Roman" w:eastAsia="SimSun"/>
          <w:color w:val="000000"/>
          <w:kern w:val="2"/>
          <w:lang w:val="ru-RU"/>
        </w:rPr>
        <w:t xml:space="preserve">200 и </w:t>
      </w:r>
      <w:r>
        <w:rPr>
          <w:rFonts w:ascii="Times New Roman" w:hAnsi="Times New Roman" w:eastAsia="SimSun"/>
          <w:color w:val="000000"/>
          <w:kern w:val="2"/>
          <w:lang w:val="en-US"/>
        </w:rPr>
        <w:t>DN</w:t>
      </w:r>
      <w:r>
        <w:rPr>
          <w:rFonts w:ascii="Times New Roman" w:hAnsi="Times New Roman" w:eastAsia="SimSun"/>
          <w:color w:val="000000"/>
          <w:kern w:val="2"/>
          <w:lang w:val="ru-RU"/>
        </w:rPr>
        <w:t>300 и прокладываются до газорегуляторной станции и газогенераторных установок, после чего по газопроводу среднего давления газ подаётся к 20 модулям модульной газовой электростанции.</w:t>
      </w:r>
    </w:p>
    <w:p w14:paraId="36985D00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kk-KZ" w:eastAsia="zh-CN"/>
        </w:rPr>
      </w:pPr>
      <w:r>
        <w:rPr>
          <w:rFonts w:ascii="Times New Roman" w:hAnsi="Times New Roman" w:eastAsia="SimSun"/>
          <w:color w:val="000000"/>
          <w:kern w:val="2"/>
          <w:lang w:val="ru-RU"/>
        </w:rPr>
        <w:t xml:space="preserve">В соответствии с нормами Республики Казахстан ВСН 51-2.38-85 проектируемый газопровод среднего давления от точки подключения к газовой сети до 20 газогенераторных установок новой газовой электростанции на месторождении Коныс относится к газопроводам </w:t>
      </w:r>
      <w:r>
        <w:rPr>
          <w:rFonts w:ascii="Times New Roman" w:hAnsi="Times New Roman" w:eastAsia="SimSun"/>
          <w:color w:val="000000"/>
          <w:kern w:val="2"/>
          <w:lang w:val="en-US"/>
        </w:rPr>
        <w:t>IV</w:t>
      </w:r>
      <w:r>
        <w:rPr>
          <w:rFonts w:ascii="Times New Roman" w:hAnsi="Times New Roman" w:eastAsia="SimSun"/>
          <w:color w:val="000000"/>
          <w:kern w:val="2"/>
          <w:lang w:val="ru-RU"/>
        </w:rPr>
        <w:t xml:space="preserve"> категории, </w:t>
      </w:r>
      <w:r>
        <w:rPr>
          <w:rFonts w:ascii="Times New Roman" w:hAnsi="Times New Roman" w:eastAsia="SimSun"/>
          <w:color w:val="000000"/>
          <w:kern w:val="2"/>
          <w:lang w:val="en-US"/>
        </w:rPr>
        <w:t>V</w:t>
      </w:r>
      <w:r>
        <w:rPr>
          <w:rFonts w:ascii="Times New Roman" w:hAnsi="Times New Roman" w:eastAsia="SimSun"/>
          <w:color w:val="000000"/>
          <w:kern w:val="2"/>
          <w:lang w:val="ru-RU"/>
        </w:rPr>
        <w:t xml:space="preserve"> класса. Теплоизоляция надземных участков газопровода предусматривается из рулонного минераловатного материала марки 75 толщиной 60 мм, без наружного облицовочного слоя, для трубопроводов с проектным диапазоном диаметров </w:t>
      </w:r>
      <w:r>
        <w:rPr>
          <w:rFonts w:ascii="Times New Roman" w:hAnsi="Times New Roman" w:eastAsia="SimSun"/>
          <w:color w:val="000000"/>
          <w:kern w:val="2"/>
          <w:lang w:val="en-US"/>
        </w:rPr>
        <w:t>φ</w:t>
      </w:r>
      <w:r>
        <w:rPr>
          <w:rFonts w:ascii="Times New Roman" w:hAnsi="Times New Roman" w:eastAsia="SimSun"/>
          <w:color w:val="000000"/>
          <w:kern w:val="2"/>
          <w:lang w:val="ru-RU"/>
        </w:rPr>
        <w:t>89–</w:t>
      </w:r>
      <w:r>
        <w:rPr>
          <w:rFonts w:ascii="Times New Roman" w:hAnsi="Times New Roman" w:eastAsia="SimSun"/>
          <w:color w:val="000000"/>
          <w:kern w:val="2"/>
          <w:lang w:val="en-US"/>
        </w:rPr>
        <w:t>φ</w:t>
      </w:r>
      <w:r>
        <w:rPr>
          <w:rFonts w:ascii="Times New Roman" w:hAnsi="Times New Roman" w:eastAsia="SimSun"/>
          <w:color w:val="000000"/>
          <w:kern w:val="2"/>
          <w:lang w:val="ru-RU"/>
        </w:rPr>
        <w:t>323 мм, в соответствии с требованиями ГОСТ 21880-2022.</w:t>
      </w:r>
    </w:p>
    <w:p w14:paraId="44D47002">
      <w:pPr>
        <w:ind w:left="5" w:leftChars="0" w:right="288" w:firstLine="701" w:firstLineChars="291"/>
        <w:jc w:val="both"/>
        <w:outlineLvl w:val="1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eastAsia="zh-CN"/>
        </w:rPr>
        <w:t>Вспомогательные инженерные решения для проектируемых объектов</w:t>
      </w:r>
      <w:bookmarkEnd w:id="0"/>
    </w:p>
    <w:p w14:paraId="24D9C4E2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Список сооружений, охватываемых проектом.</w:t>
      </w:r>
    </w:p>
    <w:p w14:paraId="5162E8DE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1. Соединительный трубопровод от существующего газопровода к вновь построенной газорегулирующей станции ГРП-1;</w:t>
      </w:r>
    </w:p>
    <w:p w14:paraId="5A8C7386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2. Газопроводы для комплекса станции регулирования давления ГРП-1, включающего 20 модульных газогенераторных установок;</w:t>
      </w:r>
    </w:p>
    <w:p w14:paraId="5938C494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3. Соответствующая платформа для резервуара для хранения сточных вод (поставляется в комплекте с 20 газогенераторами);</w:t>
      </w:r>
    </w:p>
    <w:p w14:paraId="71DA46FE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4. Диспетчерская (с 20 газогенераторными установками, поставляемыми в комплекте);</w:t>
      </w:r>
    </w:p>
    <w:p w14:paraId="5DE26752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5. Модульное операторное помещение.</w:t>
      </w:r>
    </w:p>
    <w:p w14:paraId="1F254B80">
      <w:pPr>
        <w:ind w:left="5" w:leftChars="0" w:right="288" w:firstLine="701" w:firstLineChars="291"/>
        <w:jc w:val="both"/>
        <w:outlineLvl w:val="2"/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kk-KZ" w:eastAsia="zh-CN"/>
        </w:rPr>
      </w:pPr>
      <w:bookmarkStart w:id="1" w:name="_Toc14816"/>
    </w:p>
    <w:p w14:paraId="51A2A81A">
      <w:pPr>
        <w:ind w:left="5" w:leftChars="0" w:right="288" w:firstLine="701" w:firstLineChars="291"/>
        <w:jc w:val="both"/>
        <w:outlineLvl w:val="2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eastAsia="zh-CN"/>
        </w:rPr>
        <w:t>План реализации процесса</w:t>
      </w:r>
      <w:bookmarkEnd w:id="1"/>
    </w:p>
    <w:p w14:paraId="6817DC30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1. Проект предусматривает прокладку газопровода к запорным клапанам 20 модульных газогенераторных установок. Клапаны являются частью корпуса модуля.</w:t>
      </w:r>
    </w:p>
    <w:p w14:paraId="7667091B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2. 20 контейнерных газогенераторных установок на салазках изготавливаются на заводе и состоят из 20 газовых модулей для выработки электроэнергии, инженерных трубопроводов, а также сборных систем автоматизации и сигнализации.</w:t>
      </w:r>
    </w:p>
    <w:p w14:paraId="0AFFD244">
      <w:pPr>
        <w:ind w:left="5" w:leftChars="0" w:right="288" w:firstLine="701" w:firstLineChars="291"/>
        <w:jc w:val="both"/>
        <w:outlineLvl w:val="2"/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kk-KZ" w:eastAsia="zh-CN"/>
        </w:rPr>
      </w:pPr>
      <w:bookmarkStart w:id="2" w:name="_Toc25845"/>
    </w:p>
    <w:p w14:paraId="69D551AF">
      <w:pPr>
        <w:ind w:left="5" w:leftChars="0" w:right="288" w:firstLine="701" w:firstLineChars="291"/>
        <w:jc w:val="both"/>
        <w:outlineLvl w:val="2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eastAsia="zh-CN"/>
        </w:rPr>
        <w:t>Схема конструкции здания</w:t>
      </w:r>
      <w:bookmarkEnd w:id="2"/>
    </w:p>
    <w:p w14:paraId="37AB9099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1. Список предлагаемых зданий и сооружений</w:t>
      </w:r>
    </w:p>
    <w:p w14:paraId="4BD7183F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(1) Модульное операторное помещение для контейнерной газогенераторной установки на салазках;</w:t>
      </w:r>
    </w:p>
    <w:p w14:paraId="15C9FA7D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(2) Фундамент комплекса газогенераторных установок;</w:t>
      </w:r>
    </w:p>
    <w:p w14:paraId="009B3979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(3) Контейнерные подстанции высокого и низкого напряжения на салазках и фундаменты;</w:t>
      </w:r>
    </w:p>
    <w:p w14:paraId="5DF882F0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(4) Контейнерная центральная диспетчерская и фундамент, установленные на салазках;</w:t>
      </w:r>
    </w:p>
    <w:p w14:paraId="21C422EF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(5) Платформа площадки станции регулирования давления газа ГРП-1;</w:t>
      </w:r>
    </w:p>
    <w:p w14:paraId="7C7CDF6C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(6) Интегрированная кабельная траншея;</w:t>
      </w:r>
    </w:p>
    <w:p w14:paraId="5D941FB4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(7) Опоры трубопроводов, уличные фонари, резервуары для воды и фундаменты громоотводов;</w:t>
      </w:r>
    </w:p>
    <w:p w14:paraId="169124C5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(8) Ограждение вокруг территории газовой электростанции</w:t>
      </w:r>
    </w:p>
    <w:p w14:paraId="593C4E04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2. Контейнерное блочно-модульное операторное помещение газогенераторной установки.</w:t>
      </w:r>
    </w:p>
    <w:p w14:paraId="7989CEFC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(1) Контейнерное блочно-модульное операторное помещение газогенераторной установки представляет собой одноэтажное модульное сборное здание, которое изготавливается на заводе целиком. Внешние размеры здания составляют 9,3 м × 3 м × 2,9 м.</w:t>
      </w:r>
    </w:p>
    <w:p w14:paraId="36D68A17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(2) В помещении управления газогенераторной установкой предварительно установлен полный комплект систем: система электрического отопления, система кондиционирования воздуха, автоматическая система пожарной сигнализации, сеть распределения электроэнергии и система внутреннего освещения.</w:t>
      </w:r>
    </w:p>
    <w:p w14:paraId="5F7C6799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(3) Фундамент здания возводится методом заливки дорожной плиты в соответствии с требованиями ГОСТ 21924.0-84; здание классифицируется как взрывоопасное и пожароопасное место класса Г.</w:t>
      </w:r>
    </w:p>
    <w:p w14:paraId="429F5137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3. Фундамент газогенераторного комплекса</w:t>
      </w:r>
    </w:p>
    <w:p w14:paraId="74FB95C0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(1) Фундамент комплекса газогенераторной установки выполняется в виде монолитной железобетонной конструкции из бетона, укладываемого непосредственно на месте. Толщина бетонной плиты — 300 мм, размеры фундаментной плиты в плане — 9,8 × 3,8 м. Конструкция выполняется в соответствии с требованиями ГОСТ 21924.0-84 к дорожным плитам. Помещения и зоны электростанции относятся к категории Г по взрывопожарной и пожарной опасности.</w:t>
      </w:r>
    </w:p>
    <w:p w14:paraId="6D365B0B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(2) Здание газовой электростанции построено по модульному заводскому принципу предварительной сборки.</w:t>
      </w:r>
    </w:p>
    <w:p w14:paraId="594FB19A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4. Контейнерного блочно-модульное помещение трансформаторной подстанции высокого и низкого напряжения и его фундамент.</w:t>
      </w:r>
    </w:p>
    <w:p w14:paraId="615D3D7B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(1) Диспетчерское и операторное помещения комплектных распределительных устройств высокого напряжения 6 кВ и низкого напряжения 0,4 кВ выполняются в составе единого модуля электростанции. Конструкция полностью изготавливается в заводских условиях. Габаритные размеры здания — 12 × 3 × 3 м.</w:t>
      </w:r>
    </w:p>
    <w:p w14:paraId="510C7E09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/>
          <w:color w:val="000000"/>
          <w:kern w:val="2"/>
          <w:lang w:val="ru-RU"/>
        </w:rPr>
      </w:pPr>
      <w:r>
        <w:rPr>
          <w:rFonts w:ascii="Times New Roman" w:hAnsi="Times New Roman" w:eastAsia="SimSun"/>
          <w:color w:val="000000"/>
          <w:kern w:val="2"/>
          <w:lang w:val="ru-RU"/>
        </w:rPr>
        <w:t>(2) В контейнерном блочно-модульном помещении трансформаторной подстанции высокого и низкого напряжения в заводских условиях предусматривается полный комплект инженерных систем: электрическое отопление, кондиционирование воздуха, автоматическая пожарная сигнализация, сеть розеточного электроснабжения и система освещения.</w:t>
      </w:r>
    </w:p>
    <w:p w14:paraId="674BFDC1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/>
          <w:color w:val="000000"/>
          <w:kern w:val="2"/>
          <w:lang w:val="ru-RU"/>
        </w:rPr>
      </w:pPr>
      <w:r>
        <w:rPr>
          <w:rFonts w:ascii="Times New Roman" w:hAnsi="Times New Roman" w:eastAsia="SimSun"/>
          <w:color w:val="000000"/>
          <w:kern w:val="2"/>
          <w:lang w:val="ru-RU"/>
        </w:rPr>
        <w:t>(3) Фундамент контейнерного блочно-модульного помещения трансформаторной подстанции высокого и низкого напряжения выполняется в виде монолитной бетонной конструкции ленточного типа. Размеры каждой фундаментной ленты — 3,6 × 0,5 м. Под каждый блочно-модульный блок предусматривается 5 ленточных фундаментов, возвышающихся над уровнем земли на 500 мм. Помещения и зоны электростанции относятся к категории Г по взрывопожарной и пожарной опасности.</w:t>
      </w:r>
    </w:p>
    <w:p w14:paraId="6952B0D3">
      <w:pPr>
        <w:pStyle w:val="3"/>
        <w:ind w:left="5" w:leftChars="0" w:right="288" w:firstLine="698" w:firstLineChars="291"/>
        <w:jc w:val="both"/>
        <w:rPr>
          <w:rFonts w:ascii="Times New Roman" w:hAnsi="Times New Roman"/>
          <w:b w:val="0"/>
          <w:bCs w:val="0"/>
          <w:i w:val="0"/>
          <w:iCs w:val="0"/>
          <w:color w:val="000000"/>
          <w:kern w:val="2"/>
          <w:u w:val="none"/>
        </w:rPr>
      </w:pPr>
      <w:r>
        <w:rPr>
          <w:rFonts w:ascii="Times New Roman" w:hAnsi="Times New Roman" w:eastAsia="SimSun" w:cs="Times New Roman"/>
          <w:b w:val="0"/>
          <w:bCs w:val="0"/>
          <w:i w:val="0"/>
          <w:iCs w:val="0"/>
          <w:color w:val="000000"/>
          <w:kern w:val="2"/>
          <w:u w:val="none"/>
          <w:lang w:eastAsia="zh-CN"/>
        </w:rPr>
        <w:t>5. Контейнерное блочно-модульное помещение дежурного персонала центрального пункта управления и его фундамент</w:t>
      </w:r>
    </w:p>
    <w:p w14:paraId="24567515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/>
          <w:color w:val="000000"/>
          <w:kern w:val="2"/>
          <w:lang w:val="ru-RU"/>
        </w:rPr>
      </w:pPr>
      <w:r>
        <w:rPr>
          <w:rFonts w:ascii="Times New Roman" w:hAnsi="Times New Roman" w:eastAsia="SimSun"/>
          <w:color w:val="000000"/>
          <w:kern w:val="2"/>
          <w:lang w:val="ru-RU"/>
        </w:rPr>
        <w:t>(1) Контейнерное блочно-модульное помещение дежурного персонала центрального пункта управления представляет собой модульное сборное здание, полностью изготовленное в заводских условиях. Габаритные размеры здания — 7 × 2,5 × 2,5 м.</w:t>
      </w:r>
    </w:p>
    <w:p w14:paraId="23D665B8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/>
          <w:color w:val="000000"/>
          <w:kern w:val="2"/>
          <w:lang w:val="ru-RU"/>
        </w:rPr>
      </w:pPr>
      <w:r>
        <w:rPr>
          <w:rFonts w:ascii="Times New Roman" w:hAnsi="Times New Roman" w:eastAsia="SimSun"/>
          <w:color w:val="000000"/>
          <w:kern w:val="2"/>
          <w:lang w:val="ru-RU"/>
        </w:rPr>
        <w:t>(2) В помещении дежурного персонала центрального пункта управления в заводских условиях предусматривается полный комплект инженерных систем: система электрического отопления, система кондиционирования воздуха, система автоматической пожарной сигнализации, сеть розеточного электроснабжения и система внутреннего освещения.</w:t>
      </w:r>
    </w:p>
    <w:p w14:paraId="73091B6F">
      <w:pPr>
        <w:pStyle w:val="7"/>
        <w:widowControl/>
        <w:spacing w:beforeAutospacing="0" w:afterAutospacing="0"/>
        <w:ind w:left="5" w:leftChars="0" w:right="288" w:firstLine="698" w:firstLineChars="291"/>
        <w:jc w:val="both"/>
        <w:rPr>
          <w:rFonts w:ascii="Times New Roman" w:hAnsi="Times New Roman" w:eastAsia="SimSun"/>
          <w:color w:val="000000"/>
          <w:kern w:val="2"/>
          <w:lang w:val="ru-RU"/>
        </w:rPr>
      </w:pPr>
      <w:r>
        <w:rPr>
          <w:rFonts w:ascii="Times New Roman" w:hAnsi="Times New Roman" w:eastAsia="SimSun"/>
          <w:color w:val="000000"/>
          <w:kern w:val="2"/>
          <w:lang w:val="ru-RU"/>
        </w:rPr>
        <w:t>(3) Фундамент центрального пункта управления выполняется в виде монолитной бетонной конструкции. Размеры фундамента в плане — 7,4 × 3,4 м, возвышение над уровнем земли — 0,05 м. Фундамент выполняется в соответствии с требованиями ГОСТ 21924.0-84 к дорожным плитам. Помещения и зоны электростанции относятся к категории Г по взрывопожарной и пожарной опасности.</w:t>
      </w:r>
    </w:p>
    <w:p w14:paraId="3F6E5820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6. Платформа площадки станции регулирования давления газа ГРП-1.</w:t>
      </w:r>
    </w:p>
    <w:p w14:paraId="0737A58F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lang w:eastAsia="zh-CN"/>
        </w:rPr>
        <w:t xml:space="preserve">(1) Станция регулирования давления газа имеет плановые размеры 6000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× 6000 мм (длина × ширина).</w:t>
      </w:r>
    </w:p>
    <w:p w14:paraId="7CD721EF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(2) Блок оборудования станции регулирования давления оборудован монолитным железобетонным фундаментом, вдоль трубопровода установлены специальные железобетонные опоры, а также специальные соответствующие металлические опоры для трубопровода; опоры труб приварены и надежно закреплены на трубопроводе.</w:t>
      </w:r>
    </w:p>
    <w:p w14:paraId="643DB67F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7. Интегрированная кабельная траншея</w:t>
      </w:r>
    </w:p>
    <w:p w14:paraId="2E8F1CE6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Монолитная кабельная траншея выполнена из монолитного железобетона марки С16/20 в соответствии со стандартом РК ГОСТ 34028-2016. </w:t>
      </w:r>
      <w:r>
        <w:rPr>
          <w:rFonts w:ascii="Times New Roman" w:hAnsi="Times New Roman" w:cs="Times New Roman"/>
          <w:color w:val="000000"/>
          <w:sz w:val="24"/>
          <w:lang w:eastAsia="zh-CN"/>
        </w:rPr>
        <w:t>Толщина стенок и нижней плиты траншеи составляет 200 мм, а крышка траншеи выполнена из сборных железобетонных плит толщиной 200 мм. Кабельная траншея заглублена на 800 мм ниже уровня земли, а полезная ширина траншеи составляет 800 мм.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 </w:t>
      </w:r>
    </w:p>
    <w:p w14:paraId="43547993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8. Опоры трубопроводов, уличные фонари, резервуары для воды и фундаменты для громоотводов.</w:t>
      </w:r>
    </w:p>
    <w:p w14:paraId="1AC8C3F6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Все технологические трубопроводы, уличные фонари, резервуары для воды, молниеотводы и т. д. оборудованы монолитными железобетонными фундаментами. Опоры технологических трубопроводов снабжены металлическими кронштейнами, а для обеспечения общей конструктивной устойчивости металлических кронштейнов используются металлические диагональные раскосы. Конструкция фундаментов трубопроводов соответствует требованиям модуля 9.4.6 ГОСТ 13579-2018.</w:t>
      </w:r>
    </w:p>
    <w:p w14:paraId="231279C1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9. Ограждение вокруг территории газовой электростанции.</w:t>
      </w:r>
    </w:p>
    <w:p w14:paraId="16D59C3C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(1) Для удовлетворения потребностей транспортных средств на территории участка ограждение участка оборудовано распашными </w:t>
      </w:r>
      <w:r>
        <w:rPr>
          <w:rFonts w:ascii="Times New Roman" w:hAnsi="Times New Roman" w:eastAsia="SimSun" w:cs="Times New Roman"/>
          <w:color w:val="000000"/>
          <w:sz w:val="24"/>
          <w:lang w:eastAsia="zh-CN"/>
        </w:rPr>
        <w:t xml:space="preserve">воротами шириной 8 м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и </w:t>
      </w:r>
      <w:r>
        <w:rPr>
          <w:rFonts w:ascii="Times New Roman" w:hAnsi="Times New Roman" w:eastAsia="SimSun" w:cs="Times New Roman"/>
          <w:color w:val="000000"/>
          <w:sz w:val="24"/>
          <w:lang w:eastAsia="zh-CN"/>
        </w:rPr>
        <w:t>соответствующими небольшими воротами шириной 1,2 м для пешеходов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.</w:t>
      </w:r>
    </w:p>
    <w:p w14:paraId="1BD76957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(2) Общая длина ограждения участка составляет 280 метров, а высота ограждения равна 2,2 метра.</w:t>
      </w:r>
    </w:p>
    <w:p w14:paraId="31F0E348">
      <w:pPr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(3) Ограждение состоит из металлических столбов и панелей металлической сетки Рабица.</w:t>
      </w:r>
    </w:p>
    <w:p w14:paraId="2B3FBCD7">
      <w:pPr>
        <w:ind w:left="5" w:leftChars="0" w:right="288" w:firstLine="701" w:firstLineChars="291"/>
        <w:jc w:val="both"/>
        <w:outlineLvl w:val="2"/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kk-KZ" w:eastAsia="zh-CN"/>
        </w:rPr>
      </w:pPr>
      <w:bookmarkStart w:id="3" w:name="_Toc17452"/>
    </w:p>
    <w:p w14:paraId="014C0F3C">
      <w:pPr>
        <w:ind w:left="5" w:leftChars="0" w:right="288" w:firstLine="701" w:firstLineChars="291"/>
        <w:jc w:val="both"/>
        <w:outlineLvl w:val="2"/>
        <w:rPr>
          <w:rFonts w:ascii="Times New Roman" w:hAnsi="Times New Roman" w:eastAsia="SimSun" w:cs="Times New Roman"/>
          <w:color w:val="000000"/>
          <w:sz w:val="24"/>
          <w:lang w:val="en-US"/>
        </w:rPr>
      </w:pP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en-US" w:eastAsia="zh-CN"/>
        </w:rPr>
        <w:t>Система электропитания</w:t>
      </w:r>
      <w:bookmarkEnd w:id="3"/>
    </w:p>
    <w:p w14:paraId="5DF12E9C">
      <w:pPr>
        <w:numPr>
          <w:ilvl w:val="0"/>
          <w:numId w:val="1"/>
        </w:numPr>
        <w:autoSpaceDE/>
        <w:autoSpaceDN/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  <w:lang w:val="en-US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Проект газоэлектростанции </w:t>
      </w:r>
      <w:r>
        <w:rPr>
          <w:rFonts w:ascii="Times New Roman" w:hAnsi="Times New Roman" w:eastAsia="SimSun" w:cs="Times New Roman"/>
          <w:sz w:val="24"/>
          <w:szCs w:val="24"/>
        </w:rPr>
        <w:t xml:space="preserve">на нефтяном месторождении Коныс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имеет общую установленную мощность </w:t>
      </w: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14,0 МВт и состоит из 20 газогенераторных установок мощностью 700 кВт, работающих параллельно. Она работает на одношинной сети 6 кВ с двухсекционной конфигурацией, обеспечивая стабильное и надежное электроснабжение систем добычи нефти, закачки воды, сбора и транспортировки, а также систем автоматизации месторождения.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/>
        </w:rPr>
        <w:t>Подробные параметры нагрузки будут предоставлены заказчиком.</w:t>
      </w:r>
    </w:p>
    <w:p w14:paraId="08961142">
      <w:pPr>
        <w:numPr>
          <w:ilvl w:val="0"/>
          <w:numId w:val="1"/>
        </w:numPr>
        <w:autoSpaceDE/>
        <w:autoSpaceDN/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Высоковольтная кабельная линия 6 кВ: от газоэнергетического комплекса до модульного распределительного устройства КРУН (распределительного пункта высокого напряжения 6 кВ) </w:t>
      </w:r>
      <w:bookmarkStart w:id="4" w:name="OLE_LINK4"/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>все кабели проложены в сборных железобетонных траншеях.</w:t>
      </w:r>
      <w:bookmarkEnd w:id="4"/>
    </w:p>
    <w:p w14:paraId="0020D637">
      <w:pPr>
        <w:numPr>
          <w:ilvl w:val="0"/>
          <w:numId w:val="1"/>
        </w:numPr>
        <w:autoSpaceDE/>
        <w:autoSpaceDN/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  <w:lang w:val="en-US"/>
        </w:rPr>
      </w:pP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Электростанция питается от газогенераторной установки, на нагрузку 0,4 кВ которой установлены два сухих трансформатора мощностью 1250 кВА каждый. Для цепей управления и защиты предусмотрен распределительный щит постоянного тока 220 В/100 Ач. Система включает в себя распределение высоковольтного питания, релейную защиту, защиту от молнии и статического электричества, заземление и обозначение взрывоопасных зон.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/>
        </w:rPr>
        <w:t>Все кабели проложены в железобетонных кабельных траншеях.</w:t>
      </w:r>
    </w:p>
    <w:p w14:paraId="06C6A92B">
      <w:pPr>
        <w:numPr>
          <w:ilvl w:val="0"/>
          <w:numId w:val="1"/>
        </w:numPr>
        <w:autoSpaceDE/>
        <w:autoSpaceDN/>
        <w:ind w:left="5" w:leftChars="0" w:right="288" w:firstLine="698" w:firstLineChars="291"/>
        <w:jc w:val="both"/>
        <w:rPr>
          <w:rFonts w:ascii="Times New Roman" w:hAnsi="Times New Roman" w:eastAsia="SimSun" w:cs="Times New Roman"/>
          <w:color w:val="000000"/>
          <w:sz w:val="24"/>
        </w:rPr>
      </w:pPr>
      <w:r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После завершения проект позволит нефтедобывающему месторождению работать независимо от электросети, решив проблемы больших колебаний напряжения и частых отключений электроэнергии во внешней сети и обеспечив непрерывную и безопасную добычу на месторождении.</w:t>
      </w:r>
    </w:p>
    <w:p w14:paraId="37D7AC17">
      <w:pPr>
        <w:pStyle w:val="6"/>
        <w:ind w:left="5" w:leftChars="0" w:firstLine="698" w:firstLineChars="291"/>
        <w:rPr>
          <w:rFonts w:ascii="Times New Roman" w:hAnsi="Times New Roman" w:cs="Times New Roman"/>
        </w:rPr>
      </w:pPr>
    </w:p>
    <w:p w14:paraId="3589832E">
      <w:pPr>
        <w:pStyle w:val="3"/>
        <w:spacing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Воздействия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окружающую </w:t>
      </w:r>
      <w:r>
        <w:rPr>
          <w:rFonts w:ascii="Times New Roman" w:hAnsi="Times New Roman" w:cs="Times New Roman"/>
          <w:spacing w:val="-4"/>
        </w:rPr>
        <w:t>среду</w:t>
      </w:r>
    </w:p>
    <w:p w14:paraId="2A6C490D">
      <w:pPr>
        <w:spacing w:line="323" w:lineRule="exact"/>
        <w:ind w:left="5" w:leftChars="0" w:firstLine="698" w:firstLineChars="291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Период</w:t>
      </w:r>
      <w:r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u w:val="single"/>
        </w:rPr>
        <w:t>строительства</w:t>
      </w:r>
    </w:p>
    <w:p w14:paraId="399C68F1">
      <w:pPr>
        <w:pStyle w:val="6"/>
        <w:spacing w:before="1"/>
        <w:ind w:left="5" w:leftChars="0" w:right="355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проекте дана оценка влияния проектируемых работ (период строительства) на окружающую среду и здоровье населения. Возможные источники воздействия на окружающую среду в период строительства будут временными и займут непродолжительное время.</w:t>
      </w:r>
    </w:p>
    <w:p w14:paraId="1766A3AC">
      <w:pPr>
        <w:pStyle w:val="6"/>
        <w:ind w:left="5" w:leftChars="0" w:right="356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изучении рабочего проекта, было выявлено, что при строительстве будут работать 12 источников загрязнения атмосферы, 4 из которых являются организованными и 8 неорганизованными источниками.</w:t>
      </w:r>
    </w:p>
    <w:p w14:paraId="4944A951">
      <w:pPr>
        <w:pStyle w:val="6"/>
        <w:spacing w:before="1"/>
        <w:ind w:left="5" w:leftChars="0" w:right="358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Расчетом выявлено, что при строительстве будут иметь место выбросы в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объеме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b/>
          <w:bCs/>
        </w:rPr>
        <w:t>0.18340033 г/с и 0.38696055тонн/год.</w:t>
      </w:r>
    </w:p>
    <w:p w14:paraId="1D916973">
      <w:pPr>
        <w:spacing w:before="1" w:line="323" w:lineRule="exact"/>
        <w:ind w:left="5" w:leftChars="0" w:firstLine="698" w:firstLineChars="291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Период</w:t>
      </w:r>
      <w:r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u w:val="single"/>
        </w:rPr>
        <w:t>эксплуатации</w:t>
      </w:r>
    </w:p>
    <w:p w14:paraId="6B3185E1">
      <w:pPr>
        <w:pStyle w:val="6"/>
        <w:ind w:left="5" w:leftChars="0" w:right="358" w:firstLine="698" w:firstLineChars="291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В период эксплуатации </w:t>
      </w:r>
      <w:r>
        <w:rPr>
          <w:rFonts w:ascii="Times New Roman" w:hAnsi="Times New Roman" w:eastAsia="Microsoft YaHei" w:cs="Times New Roman"/>
          <w:lang w:val="kk-KZ" w:eastAsia="zh-CN"/>
        </w:rPr>
        <w:t>газоэлектростанции месторождения Коныс будет рассматриваться отдельным проектом при эксплуатации установок.</w:t>
      </w:r>
    </w:p>
    <w:p w14:paraId="2E7F3920">
      <w:pPr>
        <w:pStyle w:val="6"/>
        <w:ind w:left="5" w:leftChars="0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источниками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загрязнения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атмосферного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воздуха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являются:</w:t>
      </w:r>
    </w:p>
    <w:p w14:paraId="21C7A3D3">
      <w:pPr>
        <w:pStyle w:val="3"/>
        <w:spacing w:before="2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при </w:t>
      </w:r>
      <w:r>
        <w:rPr>
          <w:rFonts w:ascii="Times New Roman" w:hAnsi="Times New Roman" w:cs="Times New Roman"/>
          <w:spacing w:val="-2"/>
          <w:u w:val="none"/>
        </w:rPr>
        <w:t>строительстве:</w:t>
      </w:r>
    </w:p>
    <w:p w14:paraId="02E491E6">
      <w:pPr>
        <w:spacing w:line="323" w:lineRule="exact"/>
        <w:ind w:left="5" w:leftChars="0" w:firstLine="699" w:firstLineChars="29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Источник</w:t>
      </w:r>
      <w:r>
        <w:rPr>
          <w:rFonts w:ascii="Times New Roman" w:hAnsi="Times New Roman" w:cs="Times New Roman"/>
          <w:b/>
          <w:i/>
          <w:spacing w:val="-4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single"/>
        </w:rPr>
        <w:t>№0001,</w:t>
      </w:r>
      <w:r>
        <w:rPr>
          <w:rFonts w:ascii="Times New Roman" w:hAnsi="Times New Roman" w:cs="Times New Roman"/>
          <w:b/>
          <w:i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pacing w:val="-5"/>
          <w:sz w:val="24"/>
          <w:u w:val="single"/>
        </w:rPr>
        <w:t>САГ</w:t>
      </w:r>
    </w:p>
    <w:p w14:paraId="15BDD988">
      <w:pPr>
        <w:pStyle w:val="6"/>
        <w:ind w:left="5" w:leftChars="0" w:right="356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Сварочно-автономный генератор предназначен для выработки и подачи электроэнергии при сварочных работах. САГ работает на дизельном топливе. При работе установки в атмосферный воздух выделяются следующие загрязняющие вещества: оксиды серы, азота, углерода, углерод, формальдегид, алканы С12-19 и проп-2-ен-1-аль. Источником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вредных выбросов служит выхлопная труба. Организованный источник выбросов.</w:t>
      </w:r>
    </w:p>
    <w:p w14:paraId="2F4EF9FF">
      <w:pPr>
        <w:pStyle w:val="3"/>
        <w:spacing w:before="1"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№0002,</w:t>
      </w:r>
      <w:r>
        <w:rPr>
          <w:rFonts w:ascii="Times New Roman" w:hAnsi="Times New Roman" w:cs="Times New Roman"/>
          <w:spacing w:val="-2"/>
        </w:rPr>
        <w:t xml:space="preserve"> Компрессор</w:t>
      </w:r>
    </w:p>
    <w:p w14:paraId="03D96FFA">
      <w:pPr>
        <w:pStyle w:val="6"/>
        <w:ind w:left="5" w:leftChars="0" w:right="356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Компрессор предназначен для выработки и подачи сжатого воздуха для технологических целей. Компрессор работает на дизельном топливе. При работе установки в атмосферный воздух выделяются следующие загрязняющие вещества: оксиды серы, азота, углерода, углерод, формальдегид, алканы С12-19 и проп-2-ен-1- аль. Источником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вредных выбросов служит выхлопная труба. Организованный источник выброса.</w:t>
      </w:r>
    </w:p>
    <w:p w14:paraId="47A9701C">
      <w:pPr>
        <w:pStyle w:val="3"/>
        <w:spacing w:before="2" w:line="321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№0003,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Электростанция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передвижная</w:t>
      </w:r>
    </w:p>
    <w:p w14:paraId="4A3EB50B">
      <w:pPr>
        <w:pStyle w:val="6"/>
        <w:ind w:left="5" w:leftChars="0" w:right="359" w:firstLine="698" w:firstLineChars="291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>Электростанция предназначена для выработки и подачи электроэнергии для технологических нужд предприятии на объектах. При работе установки в атмосферный воздух выделяются следующие загрязняющие вещества: оксиды серы, азота,</w:t>
      </w:r>
      <w:r>
        <w:rPr>
          <w:rFonts w:ascii="Times New Roman" w:hAnsi="Times New Roman" w:cs="Times New Roman"/>
          <w:spacing w:val="54"/>
        </w:rPr>
        <w:t xml:space="preserve">  </w:t>
      </w:r>
      <w:r>
        <w:rPr>
          <w:rFonts w:ascii="Times New Roman" w:hAnsi="Times New Roman" w:cs="Times New Roman"/>
        </w:rPr>
        <w:t>углерода,</w:t>
      </w:r>
      <w:r>
        <w:rPr>
          <w:rFonts w:ascii="Times New Roman" w:hAnsi="Times New Roman" w:cs="Times New Roman"/>
          <w:spacing w:val="56"/>
        </w:rPr>
        <w:t xml:space="preserve">  </w:t>
      </w:r>
      <w:r>
        <w:rPr>
          <w:rFonts w:ascii="Times New Roman" w:hAnsi="Times New Roman" w:cs="Times New Roman"/>
        </w:rPr>
        <w:t>углерод,</w:t>
      </w:r>
      <w:r>
        <w:rPr>
          <w:rFonts w:ascii="Times New Roman" w:hAnsi="Times New Roman" w:cs="Times New Roman"/>
          <w:spacing w:val="56"/>
        </w:rPr>
        <w:t xml:space="preserve">  </w:t>
      </w:r>
      <w:r>
        <w:rPr>
          <w:rFonts w:ascii="Times New Roman" w:hAnsi="Times New Roman" w:cs="Times New Roman"/>
        </w:rPr>
        <w:t>формальдегид,</w:t>
      </w:r>
      <w:r>
        <w:rPr>
          <w:rFonts w:ascii="Times New Roman" w:hAnsi="Times New Roman" w:cs="Times New Roman"/>
          <w:spacing w:val="56"/>
        </w:rPr>
        <w:t xml:space="preserve">  </w:t>
      </w:r>
      <w:r>
        <w:rPr>
          <w:rFonts w:ascii="Times New Roman" w:hAnsi="Times New Roman" w:cs="Times New Roman"/>
        </w:rPr>
        <w:t>алканы</w:t>
      </w:r>
      <w:r>
        <w:rPr>
          <w:rFonts w:ascii="Times New Roman" w:hAnsi="Times New Roman" w:cs="Times New Roman"/>
          <w:spacing w:val="57"/>
        </w:rPr>
        <w:t xml:space="preserve">  </w:t>
      </w:r>
      <w:r>
        <w:rPr>
          <w:rFonts w:ascii="Times New Roman" w:hAnsi="Times New Roman" w:cs="Times New Roman"/>
        </w:rPr>
        <w:t>С12-19</w:t>
      </w:r>
      <w:r>
        <w:rPr>
          <w:rFonts w:ascii="Times New Roman" w:hAnsi="Times New Roman" w:cs="Times New Roman"/>
          <w:spacing w:val="56"/>
        </w:rPr>
        <w:t xml:space="preserve"> 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56"/>
        </w:rPr>
        <w:t xml:space="preserve">  </w:t>
      </w:r>
      <w:r>
        <w:rPr>
          <w:rFonts w:ascii="Times New Roman" w:hAnsi="Times New Roman" w:cs="Times New Roman"/>
        </w:rPr>
        <w:t>проп-2-ен-1-</w:t>
      </w:r>
      <w:r>
        <w:rPr>
          <w:rFonts w:ascii="Times New Roman" w:hAnsi="Times New Roman" w:cs="Times New Roman"/>
          <w:spacing w:val="-4"/>
        </w:rPr>
        <w:t>аль.</w:t>
      </w:r>
    </w:p>
    <w:p w14:paraId="62B43CCA">
      <w:pPr>
        <w:pStyle w:val="6"/>
        <w:ind w:left="5" w:leftChars="0" w:right="359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Источником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вредных выбросов служат выхлопные трубы. Организованные </w:t>
      </w:r>
      <w:bookmarkStart w:id="5" w:name="UИсточник_№0004,_Котел_битумный"/>
      <w:bookmarkEnd w:id="5"/>
      <w:r>
        <w:rPr>
          <w:rFonts w:ascii="Times New Roman" w:hAnsi="Times New Roman" w:cs="Times New Roman"/>
        </w:rPr>
        <w:t>источники выбросов.</w:t>
      </w:r>
    </w:p>
    <w:p w14:paraId="378CEA66">
      <w:pPr>
        <w:pStyle w:val="3"/>
        <w:spacing w:before="3"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№0004,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Котел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битумный</w:t>
      </w:r>
    </w:p>
    <w:p w14:paraId="34091CCD">
      <w:pPr>
        <w:pStyle w:val="6"/>
        <w:ind w:left="5" w:leftChars="0" w:right="358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Битум применяется при строительстве зданий, дорог и т.д. При работе в атмосферный воздух выделяются алканы С12-19, оксиды серы, азота, углерода, сажа и алканы. Организованный источник.</w:t>
      </w:r>
    </w:p>
    <w:p w14:paraId="5CA2C4D4">
      <w:pPr>
        <w:pStyle w:val="3"/>
        <w:spacing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№6001,</w:t>
      </w:r>
      <w:r>
        <w:rPr>
          <w:rFonts w:ascii="Times New Roman" w:hAnsi="Times New Roman" w:cs="Times New Roman"/>
          <w:spacing w:val="-2"/>
        </w:rPr>
        <w:t xml:space="preserve"> Покраска</w:t>
      </w:r>
    </w:p>
    <w:p w14:paraId="6B65E97B">
      <w:pPr>
        <w:pStyle w:val="6"/>
        <w:ind w:left="5" w:leftChars="0" w:right="358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Покраска производится с целью защиты наружных поверхностей металлоконструкции от коррозии путем покрытия лакокрасочными материалами. Процесс покрасочных работ сопровождается выделением в атмосферный воздух следующих загрязняющих ингредиентов: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диметилбензол и уайт-спирит. Неорганизованный источник выброса.</w:t>
      </w:r>
    </w:p>
    <w:p w14:paraId="3FBB062D">
      <w:pPr>
        <w:pStyle w:val="3"/>
        <w:spacing w:before="2"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№6002,</w:t>
      </w:r>
      <w:r>
        <w:rPr>
          <w:rFonts w:ascii="Times New Roman" w:hAnsi="Times New Roman" w:cs="Times New Roman"/>
          <w:spacing w:val="-2"/>
        </w:rPr>
        <w:t xml:space="preserve"> Электросварка</w:t>
      </w:r>
    </w:p>
    <w:p w14:paraId="04E8B4CF">
      <w:pPr>
        <w:pStyle w:val="6"/>
        <w:ind w:left="5" w:leftChars="0" w:right="357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Сварочные работы производятся штучными электродами, при сгорании которых в атмосферный воздух выделяются следующие вредные вещества: оксиды железа, марганца, фтористые газообразные соединения. Неорганизованный источник выбросов.</w:t>
      </w:r>
    </w:p>
    <w:p w14:paraId="6E6D0F1C">
      <w:pPr>
        <w:pStyle w:val="3"/>
        <w:spacing w:before="2" w:line="321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№6003,</w:t>
      </w:r>
      <w:r>
        <w:rPr>
          <w:rFonts w:ascii="Times New Roman" w:hAnsi="Times New Roman" w:cs="Times New Roman"/>
          <w:spacing w:val="-2"/>
        </w:rPr>
        <w:t xml:space="preserve"> Газосварка</w:t>
      </w:r>
    </w:p>
    <w:p w14:paraId="68E9A1ED">
      <w:pPr>
        <w:pStyle w:val="6"/>
        <w:ind w:left="5" w:leftChars="0" w:right="357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Сварочные работы с использованием пропанобутановой смесью при сгорании которых в атмосферный воздух выделяются следующие вредные вещества: оксиды азота. Неорганизованный источник выброса.</w:t>
      </w:r>
    </w:p>
    <w:p w14:paraId="65F5EB92">
      <w:pPr>
        <w:pStyle w:val="3"/>
        <w:spacing w:before="1"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загрязнения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№6004,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Шлифовальный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станок</w:t>
      </w:r>
    </w:p>
    <w:p w14:paraId="265B1E27">
      <w:pPr>
        <w:pStyle w:val="6"/>
        <w:ind w:left="5" w:leftChars="0" w:right="435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Шлифовальный станок предназначен для обработки металла. При работе станка в атмосферный воздух выделяется пыль абразивная и взвешенные вещества. Неорганизованный источник выбросов.</w:t>
      </w:r>
    </w:p>
    <w:p w14:paraId="10A0770B">
      <w:pPr>
        <w:pStyle w:val="3"/>
        <w:spacing w:before="2"/>
        <w:ind w:left="5" w:leftChars="0" w:right="36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 №6005-6007,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Разгрузка-хранение инертных материалов (щебня,</w:t>
      </w:r>
      <w:r>
        <w:rPr>
          <w:rFonts w:ascii="Times New Roman" w:hAnsi="Times New Roman" w:cs="Times New Roman"/>
          <w:u w:val="none"/>
        </w:rPr>
        <w:t xml:space="preserve"> </w:t>
      </w:r>
      <w:r>
        <w:rPr>
          <w:rFonts w:ascii="Times New Roman" w:hAnsi="Times New Roman" w:cs="Times New Roman"/>
        </w:rPr>
        <w:t>песка и ПГС)</w:t>
      </w:r>
    </w:p>
    <w:p w14:paraId="77038F4C">
      <w:pPr>
        <w:pStyle w:val="6"/>
        <w:ind w:left="5" w:leftChars="0" w:right="358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Площадки для хранения щебня, песка и ПГС предназначены для временного хранения и для погрузочно-разгрузочных работ. При погрузке и разгрузке инертных материалов в атмосферный воздух выделяется пыль неорганическая. Неорганизованные источники выбросов.</w:t>
      </w:r>
    </w:p>
    <w:p w14:paraId="5E9D608D">
      <w:pPr>
        <w:pStyle w:val="3"/>
        <w:spacing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Источник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№6008,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Пыление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движении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автотранспорта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2"/>
        </w:rPr>
        <w:t xml:space="preserve"> спецтехники</w:t>
      </w:r>
    </w:p>
    <w:p w14:paraId="568DEA7F">
      <w:pPr>
        <w:pStyle w:val="6"/>
        <w:ind w:left="5" w:leftChars="0" w:right="356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Выемочно-земляные, погрузочно-разгрузочные работы предусматриваются автотранспортными средствами и спецтехникой. Рабочим топливом для спецтехники является дизтопливо. При проведении земляных работ, в атмосферный воздух выделяется пыль неорганическая. Неорганизованный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источник выброса.</w:t>
      </w:r>
    </w:p>
    <w:p w14:paraId="1D69EBD8">
      <w:pPr>
        <w:pStyle w:val="3"/>
        <w:spacing w:before="1" w:line="323" w:lineRule="exact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</w:rPr>
        <w:t>Выбросы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ДВС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передвижных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источников</w:t>
      </w:r>
    </w:p>
    <w:p w14:paraId="038991EB">
      <w:pPr>
        <w:pStyle w:val="6"/>
        <w:ind w:left="5" w:leftChars="0" w:right="359" w:firstLine="698" w:firstLineChars="291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передвижным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источникам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можно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отнести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транспортные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средства, которыми работают на территории строительных работы. При работе в атмосферный воздух выделяются оксиды азота, серы, углерода, сажа, бенз/а/пирен, </w:t>
      </w:r>
      <w:r>
        <w:rPr>
          <w:rFonts w:ascii="Times New Roman" w:hAnsi="Times New Roman" w:cs="Times New Roman"/>
          <w:spacing w:val="-2"/>
        </w:rPr>
        <w:t>керосин.</w:t>
      </w:r>
    </w:p>
    <w:p w14:paraId="2BE8E578">
      <w:pPr>
        <w:pStyle w:val="2"/>
        <w:numPr>
          <w:numId w:val="0"/>
        </w:numPr>
        <w:tabs>
          <w:tab w:val="left" w:pos="1232"/>
        </w:tabs>
        <w:spacing w:before="5"/>
        <w:ind w:left="5" w:leftChars="0" w:firstLine="699" w:firstLineChars="29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ВОЗДЕЙСТВИЙ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СОСТОЯНИЕ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4"/>
        </w:rPr>
        <w:t>ВОД.</w:t>
      </w:r>
    </w:p>
    <w:p w14:paraId="20B8083C">
      <w:pPr>
        <w:pStyle w:val="8"/>
        <w:numPr>
          <w:numId w:val="0"/>
        </w:numPr>
        <w:tabs>
          <w:tab w:val="left" w:pos="1426"/>
        </w:tabs>
        <w:spacing w:before="289" w:line="276" w:lineRule="auto"/>
        <w:ind w:left="5" w:leftChars="0" w:right="420" w:rightChars="0" w:firstLine="699" w:firstLineChars="291"/>
        <w:jc w:val="both"/>
        <w:rPr>
          <w:rFonts w:ascii="Times New Roman" w:hAnsi="Times New Roman" w:cs="Times New Roman"/>
          <w:b/>
          <w:sz w:val="24"/>
        </w:rPr>
      </w:pPr>
      <w:bookmarkStart w:id="6" w:name="2.1._Потребность_в_водных_ресурсах_для_н"/>
      <w:bookmarkEnd w:id="6"/>
      <w:r>
        <w:rPr>
          <w:rFonts w:ascii="Times New Roman" w:hAnsi="Times New Roman" w:cs="Times New Roman"/>
          <w:b/>
          <w:sz w:val="24"/>
        </w:rPr>
        <w:t>Потребность в водных ресурсах для намечаемой деятельности на период строительства, требования к качеству используемой воды</w:t>
      </w:r>
    </w:p>
    <w:p w14:paraId="4F209EE4">
      <w:pPr>
        <w:spacing w:before="1"/>
        <w:ind w:left="5" w:leftChars="0" w:firstLine="698" w:firstLineChars="291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Период</w:t>
      </w:r>
      <w:r>
        <w:rPr>
          <w:rFonts w:ascii="Times New Roman" w:hAnsi="Times New Roman" w:cs="Times New Roman"/>
          <w:i/>
          <w:spacing w:val="-3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u w:val="single"/>
        </w:rPr>
        <w:t>строительства</w:t>
      </w:r>
    </w:p>
    <w:p w14:paraId="317C7A67">
      <w:pPr>
        <w:pStyle w:val="6"/>
        <w:ind w:left="5" w:leftChars="0" w:right="422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питьевых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целей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планируется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использовать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привозную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бутилированную воду. Водоснабжение для хоз-бытовых нужд предусмотрено из существующей водопроводной городской сети.</w:t>
      </w:r>
    </w:p>
    <w:p w14:paraId="0F7098A3">
      <w:pPr>
        <w:pStyle w:val="6"/>
        <w:spacing w:before="1"/>
        <w:ind w:left="5" w:leftChars="0" w:right="423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Вода, используемая для питьевых и хозяйственно-бытовых нужд, соответствует документам государственной системы санитарно- эпидемиологического нормирования.</w:t>
      </w:r>
    </w:p>
    <w:p w14:paraId="6D9C692C">
      <w:pPr>
        <w:pStyle w:val="6"/>
        <w:ind w:left="5" w:leftChars="0" w:right="423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Расчет водопотребления воды для коммунально-бытовых целей рабочего персонала произведен исходя из норм потребления воды согласно CП РК 4.01- </w:t>
      </w:r>
      <w:r>
        <w:rPr>
          <w:rFonts w:ascii="Times New Roman" w:hAnsi="Times New Roman" w:cs="Times New Roman"/>
          <w:spacing w:val="-2"/>
        </w:rPr>
        <w:t>101-2012.</w:t>
      </w:r>
    </w:p>
    <w:p w14:paraId="247BB386">
      <w:pPr>
        <w:pStyle w:val="3"/>
        <w:spacing w:before="1"/>
        <w:ind w:left="5" w:leftChars="0" w:firstLine="699" w:firstLineChars="291"/>
        <w:jc w:val="both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Расчетное</w:t>
      </w:r>
      <w:r>
        <w:rPr>
          <w:rFonts w:ascii="Times New Roman" w:hAnsi="Times New Roman" w:cs="Times New Roman"/>
          <w:spacing w:val="-7"/>
          <w:u w:val="none"/>
        </w:rPr>
        <w:t xml:space="preserve"> </w:t>
      </w:r>
      <w:r>
        <w:rPr>
          <w:rFonts w:ascii="Times New Roman" w:hAnsi="Times New Roman" w:cs="Times New Roman"/>
          <w:u w:val="none"/>
        </w:rPr>
        <w:t>водопотребление</w:t>
      </w:r>
      <w:r>
        <w:rPr>
          <w:rFonts w:ascii="Times New Roman" w:hAnsi="Times New Roman" w:cs="Times New Roman"/>
          <w:spacing w:val="-4"/>
          <w:u w:val="none"/>
        </w:rPr>
        <w:t xml:space="preserve"> </w:t>
      </w:r>
      <w:r>
        <w:rPr>
          <w:rFonts w:ascii="Times New Roman" w:hAnsi="Times New Roman" w:cs="Times New Roman"/>
          <w:u w:val="none"/>
        </w:rPr>
        <w:t>и</w:t>
      </w:r>
      <w:r>
        <w:rPr>
          <w:rFonts w:ascii="Times New Roman" w:hAnsi="Times New Roman" w:cs="Times New Roman"/>
          <w:spacing w:val="-3"/>
          <w:u w:val="none"/>
        </w:rPr>
        <w:t xml:space="preserve"> </w:t>
      </w:r>
      <w:r>
        <w:rPr>
          <w:rFonts w:ascii="Times New Roman" w:hAnsi="Times New Roman" w:cs="Times New Roman"/>
          <w:u w:val="none"/>
        </w:rPr>
        <w:t>водоотведение</w:t>
      </w:r>
      <w:r>
        <w:rPr>
          <w:rFonts w:ascii="Times New Roman" w:hAnsi="Times New Roman" w:cs="Times New Roman"/>
          <w:spacing w:val="-5"/>
          <w:u w:val="none"/>
        </w:rPr>
        <w:t xml:space="preserve"> </w:t>
      </w:r>
      <w:r>
        <w:rPr>
          <w:rFonts w:ascii="Times New Roman" w:hAnsi="Times New Roman" w:cs="Times New Roman"/>
          <w:u w:val="none"/>
        </w:rPr>
        <w:t>при</w:t>
      </w:r>
      <w:r>
        <w:rPr>
          <w:rFonts w:ascii="Times New Roman" w:hAnsi="Times New Roman" w:cs="Times New Roman"/>
          <w:spacing w:val="-3"/>
          <w:u w:val="none"/>
        </w:rPr>
        <w:t xml:space="preserve"> </w:t>
      </w:r>
      <w:r>
        <w:rPr>
          <w:rFonts w:ascii="Times New Roman" w:hAnsi="Times New Roman" w:cs="Times New Roman"/>
          <w:u w:val="none"/>
        </w:rPr>
        <w:t>строительстве</w:t>
      </w:r>
      <w:r>
        <w:rPr>
          <w:rFonts w:ascii="Times New Roman" w:hAnsi="Times New Roman" w:cs="Times New Roman"/>
          <w:spacing w:val="-4"/>
          <w:u w:val="none"/>
        </w:rPr>
        <w:t xml:space="preserve"> </w:t>
      </w:r>
      <w:r>
        <w:rPr>
          <w:rFonts w:ascii="Times New Roman" w:hAnsi="Times New Roman" w:cs="Times New Roman"/>
          <w:spacing w:val="-2"/>
          <w:u w:val="none"/>
        </w:rPr>
        <w:t>объекта</w:t>
      </w:r>
    </w:p>
    <w:tbl>
      <w:tblPr>
        <w:tblStyle w:val="5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4112"/>
        <w:gridCol w:w="3025"/>
      </w:tblGrid>
      <w:tr w14:paraId="20042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410" w:type="dxa"/>
          </w:tcPr>
          <w:p w14:paraId="38A2DCF1">
            <w:pPr>
              <w:pStyle w:val="9"/>
              <w:spacing w:before="3"/>
              <w:ind w:left="5" w:leftChars="0" w:firstLine="582" w:firstLineChars="291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Цели</w:t>
            </w:r>
            <w:r>
              <w:rPr>
                <w:rFonts w:ascii="Times New Roman" w:hAnsi="Times New Roman" w:cs="Times New Roman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водопотребления</w:t>
            </w:r>
          </w:p>
        </w:tc>
        <w:tc>
          <w:tcPr>
            <w:tcW w:w="4112" w:type="dxa"/>
          </w:tcPr>
          <w:p w14:paraId="5B02EB68">
            <w:pPr>
              <w:pStyle w:val="9"/>
              <w:spacing w:before="3"/>
              <w:ind w:left="5" w:leftChars="0" w:firstLine="582" w:firstLineChars="291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Расчет</w:t>
            </w:r>
            <w:r>
              <w:rPr>
                <w:rFonts w:ascii="Times New Roman" w:hAnsi="Times New Roman" w:cs="Times New Roman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t>нормативного</w:t>
            </w:r>
            <w:r>
              <w:rPr>
                <w:rFonts w:ascii="Times New Roman" w:hAnsi="Times New Roman" w:cs="Times New Roman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водопотребления</w:t>
            </w:r>
          </w:p>
        </w:tc>
        <w:tc>
          <w:tcPr>
            <w:tcW w:w="3025" w:type="dxa"/>
          </w:tcPr>
          <w:p w14:paraId="1A0DD72A">
            <w:pPr>
              <w:pStyle w:val="9"/>
              <w:spacing w:line="270" w:lineRule="atLeast"/>
              <w:ind w:left="5" w:leftChars="0" w:right="434" w:firstLine="582" w:firstLineChars="291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Расчет</w:t>
            </w:r>
            <w:r>
              <w:rPr>
                <w:rFonts w:ascii="Times New Roman" w:hAnsi="Times New Roman" w:cs="Times New Roman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нормативного 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водоотведения</w:t>
            </w:r>
          </w:p>
        </w:tc>
      </w:tr>
      <w:tr w14:paraId="66B53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2410" w:type="dxa"/>
          </w:tcPr>
          <w:p w14:paraId="5B33523F">
            <w:pPr>
              <w:pStyle w:val="9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Хозяйственно-бытовые </w:t>
            </w:r>
            <w:r>
              <w:rPr>
                <w:rFonts w:ascii="Times New Roman" w:hAnsi="Times New Roman" w:cs="Times New Roman"/>
                <w:sz w:val="20"/>
              </w:rPr>
              <w:t>нужды рабочего</w:t>
            </w:r>
          </w:p>
          <w:p w14:paraId="5AE733D2">
            <w:pPr>
              <w:pStyle w:val="9"/>
              <w:spacing w:before="1" w:line="247" w:lineRule="exact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персонала</w:t>
            </w:r>
          </w:p>
        </w:tc>
        <w:tc>
          <w:tcPr>
            <w:tcW w:w="4112" w:type="dxa"/>
          </w:tcPr>
          <w:p w14:paraId="72BBDF92">
            <w:pPr>
              <w:pStyle w:val="9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0,012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10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чел.=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0,12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2C7CCD8A">
            <w:pPr>
              <w:pStyle w:val="9"/>
              <w:spacing w:before="2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0,12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дней/год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3,6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  <w:tc>
          <w:tcPr>
            <w:tcW w:w="3025" w:type="dxa"/>
          </w:tcPr>
          <w:p w14:paraId="4AE5F761">
            <w:pPr>
              <w:pStyle w:val="9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0,12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735032AE">
            <w:pPr>
              <w:pStyle w:val="9"/>
              <w:spacing w:before="2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3,6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</w:tr>
      <w:tr w14:paraId="17EE7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410" w:type="dxa"/>
          </w:tcPr>
          <w:p w14:paraId="5080AE95">
            <w:pPr>
              <w:pStyle w:val="9"/>
              <w:spacing w:before="3"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Столовая</w:t>
            </w:r>
            <w:r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(2</w:t>
            </w:r>
            <w:r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условные</w:t>
            </w:r>
          </w:p>
          <w:p w14:paraId="73B6799F">
            <w:pPr>
              <w:pStyle w:val="9"/>
              <w:spacing w:line="247" w:lineRule="exact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блюда)</w:t>
            </w:r>
          </w:p>
        </w:tc>
        <w:tc>
          <w:tcPr>
            <w:tcW w:w="4112" w:type="dxa"/>
          </w:tcPr>
          <w:p w14:paraId="3A64AD64">
            <w:pPr>
              <w:pStyle w:val="9"/>
              <w:spacing w:before="3"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0,012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10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0,24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435CAD12">
            <w:pPr>
              <w:pStyle w:val="9"/>
              <w:spacing w:line="247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0,24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7,2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  <w:tc>
          <w:tcPr>
            <w:tcW w:w="3025" w:type="dxa"/>
          </w:tcPr>
          <w:p w14:paraId="556859EA">
            <w:pPr>
              <w:pStyle w:val="9"/>
              <w:spacing w:before="3"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0,24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1F4E3FB3">
            <w:pPr>
              <w:pStyle w:val="9"/>
              <w:spacing w:line="247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7,2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</w:tr>
      <w:tr w14:paraId="28700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410" w:type="dxa"/>
          </w:tcPr>
          <w:p w14:paraId="32C20F79">
            <w:pPr>
              <w:pStyle w:val="9"/>
              <w:spacing w:before="3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Душевые</w:t>
            </w:r>
          </w:p>
        </w:tc>
        <w:tc>
          <w:tcPr>
            <w:tcW w:w="4112" w:type="dxa"/>
          </w:tcPr>
          <w:p w14:paraId="59D8626E">
            <w:pPr>
              <w:pStyle w:val="9"/>
              <w:spacing w:before="3"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0,18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/1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пос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10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1,8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5D450F1E">
            <w:pPr>
              <w:pStyle w:val="9"/>
              <w:spacing w:line="247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1,8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54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  <w:tc>
          <w:tcPr>
            <w:tcW w:w="3025" w:type="dxa"/>
          </w:tcPr>
          <w:p w14:paraId="3D61E716">
            <w:pPr>
              <w:pStyle w:val="9"/>
              <w:spacing w:before="3"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1,8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6FEB1420">
            <w:pPr>
              <w:pStyle w:val="9"/>
              <w:spacing w:line="247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</w:tr>
      <w:tr w14:paraId="7F83C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410" w:type="dxa"/>
          </w:tcPr>
          <w:p w14:paraId="6CD73873">
            <w:pPr>
              <w:pStyle w:val="9"/>
              <w:spacing w:before="3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Прачечная</w:t>
            </w:r>
          </w:p>
        </w:tc>
        <w:tc>
          <w:tcPr>
            <w:tcW w:w="4112" w:type="dxa"/>
          </w:tcPr>
          <w:p w14:paraId="179D806D">
            <w:pPr>
              <w:pStyle w:val="9"/>
              <w:spacing w:before="3"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0,075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/1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кг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сух.белья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кг/сух.белья.сут.</w:t>
            </w:r>
          </w:p>
          <w:p w14:paraId="105497C3">
            <w:pPr>
              <w:pStyle w:val="9"/>
              <w:spacing w:line="26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0,375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184ED63B">
            <w:pPr>
              <w:pStyle w:val="9"/>
              <w:spacing w:line="249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0,375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11,25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  <w:tc>
          <w:tcPr>
            <w:tcW w:w="3025" w:type="dxa"/>
          </w:tcPr>
          <w:p w14:paraId="237D465D">
            <w:pPr>
              <w:pStyle w:val="9"/>
              <w:spacing w:before="3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0,375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/сут</w:t>
            </w:r>
          </w:p>
          <w:p w14:paraId="180128B7">
            <w:pPr>
              <w:pStyle w:val="9"/>
              <w:spacing w:before="268" w:line="250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11,25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</w:tr>
      <w:tr w14:paraId="7F27A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410" w:type="dxa"/>
          </w:tcPr>
          <w:p w14:paraId="7C7E0941">
            <w:pPr>
              <w:pStyle w:val="9"/>
              <w:spacing w:before="1" w:line="250" w:lineRule="exact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Всего:</w:t>
            </w:r>
          </w:p>
        </w:tc>
        <w:tc>
          <w:tcPr>
            <w:tcW w:w="4112" w:type="dxa"/>
          </w:tcPr>
          <w:p w14:paraId="0A35F987">
            <w:pPr>
              <w:pStyle w:val="9"/>
              <w:spacing w:before="1" w:line="250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2,535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/сут;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76,05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  <w:tc>
          <w:tcPr>
            <w:tcW w:w="3025" w:type="dxa"/>
          </w:tcPr>
          <w:p w14:paraId="53B26DB5">
            <w:pPr>
              <w:pStyle w:val="9"/>
              <w:spacing w:before="1" w:line="250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2,535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/сут;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76,05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м</w:t>
            </w:r>
            <w:r>
              <w:rPr>
                <w:rFonts w:ascii="Times New Roman" w:hAnsi="Times New Roman" w:cs="Times New Roman"/>
                <w:spacing w:val="-2"/>
                <w:position w:val="5"/>
                <w:sz w:val="12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/год</w:t>
            </w:r>
          </w:p>
        </w:tc>
      </w:tr>
    </w:tbl>
    <w:p w14:paraId="2F01226E">
      <w:pPr>
        <w:pStyle w:val="6"/>
        <w:spacing w:before="1"/>
        <w:ind w:left="5" w:leftChars="0" w:right="420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обеспечения безопасности грунтовых и подземных вод от загрязнения хозяйственно-бытовые сточные воды будут отводиться во временную герметичную, водонепроницаемую емкость, который по мере необходимости будет откачиваться ассенизационной машиной и вывозиться на ближайшие очистные сооружения по договору.</w:t>
      </w:r>
    </w:p>
    <w:p w14:paraId="5992B0D9">
      <w:pPr>
        <w:pStyle w:val="6"/>
        <w:ind w:left="5" w:leftChars="0" w:right="423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Предусматривается устройство надворного туалета с водонепроницаемой выгребной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ямой,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мобильных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туалетные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кабины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"Биотуалет".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завершению строительства объекта, после демонтажа надворных туалетов проводятся дезинфекционные мероприятия.</w:t>
      </w:r>
    </w:p>
    <w:p w14:paraId="6B975B55">
      <w:pPr>
        <w:pStyle w:val="6"/>
        <w:ind w:left="5" w:leftChars="0" w:right="423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окончания строительства необходимо обеспечить рекультивацию земель водонепроницаемых емкостей и накопителей.</w:t>
      </w:r>
    </w:p>
    <w:p w14:paraId="5578C3D9">
      <w:pPr>
        <w:pStyle w:val="2"/>
        <w:numPr>
          <w:numId w:val="0"/>
        </w:numPr>
        <w:tabs>
          <w:tab w:val="left" w:pos="1503"/>
        </w:tabs>
        <w:spacing w:before="238" w:line="276" w:lineRule="auto"/>
        <w:ind w:left="5" w:leftChars="0" w:right="425" w:rightChars="0" w:firstLine="699" w:firstLineChars="291"/>
        <w:jc w:val="both"/>
        <w:rPr>
          <w:rFonts w:ascii="Times New Roman" w:hAnsi="Times New Roman" w:cs="Times New Roman"/>
        </w:rPr>
      </w:pPr>
      <w:bookmarkStart w:id="7" w:name="2.2._Характеристика_источника_водоснабже"/>
      <w:bookmarkEnd w:id="7"/>
      <w:r>
        <w:rPr>
          <w:rFonts w:ascii="Times New Roman" w:hAnsi="Times New Roman" w:cs="Times New Roman"/>
        </w:rPr>
        <w:t>Характеристика источника водоснабжения, его хозяйственное использование, местоположение водозабора, его характеристика</w:t>
      </w:r>
    </w:p>
    <w:p w14:paraId="14FE3992">
      <w:pPr>
        <w:pStyle w:val="6"/>
        <w:spacing w:before="5" w:line="276" w:lineRule="auto"/>
        <w:ind w:left="5" w:leftChars="0" w:right="423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питьевых целей планируется использовать привозную бутилированную воду. Водоснабжение для хоз-бытовых и технических нужд предусмотрено привозное. Поставку воды на территорию строительной площадки будет осуществлять сторонняя организация на основании договора.</w:t>
      </w:r>
    </w:p>
    <w:p w14:paraId="77F35DE4">
      <w:pPr>
        <w:pStyle w:val="6"/>
        <w:spacing w:line="276" w:lineRule="auto"/>
        <w:ind w:left="5" w:leftChars="0" w:right="425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Привозная вода хранится в отдельном помещении или под навесом в емкостях, установленных на площадке с твердым покрытием.</w:t>
      </w:r>
    </w:p>
    <w:p w14:paraId="4E65FB73">
      <w:pPr>
        <w:pStyle w:val="6"/>
        <w:spacing w:line="278" w:lineRule="auto"/>
        <w:ind w:left="5" w:leftChars="0" w:right="423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Емкости для хранения воды изготавливаются из материалов, разрешенных к применению для этих целей на территории Республики Казахстан.</w:t>
      </w:r>
    </w:p>
    <w:p w14:paraId="396C3BED">
      <w:pPr>
        <w:pStyle w:val="6"/>
        <w:spacing w:line="276" w:lineRule="auto"/>
        <w:ind w:left="5" w:leftChars="0" w:right="422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Чистка, мытье и дезинфекция емкостей для хранения и перевозки привозной воды производится не реже одного раза в десять календарных дней и по эпидемиологическим показаниям.</w:t>
      </w:r>
    </w:p>
    <w:p w14:paraId="0843C213">
      <w:pPr>
        <w:pStyle w:val="6"/>
        <w:spacing w:line="276" w:lineRule="auto"/>
        <w:ind w:left="5" w:leftChars="0" w:right="424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Внутренняя поверхность механически очищается, промывается с полным удалением воды, дезинфицируется. После дезинфекции емкость промывается, заполняется водой и проводится бактериологический контроль воды.</w:t>
      </w:r>
    </w:p>
    <w:p w14:paraId="2A79179D">
      <w:pPr>
        <w:pStyle w:val="6"/>
        <w:spacing w:line="276" w:lineRule="auto"/>
        <w:ind w:left="5" w:leftChars="0" w:right="426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дезинфекции применяются дезинфицирующие средства, разрешенные к применению в Республике Казахстан.</w:t>
      </w:r>
    </w:p>
    <w:p w14:paraId="7C093221">
      <w:pPr>
        <w:pStyle w:val="6"/>
        <w:spacing w:line="323" w:lineRule="exact"/>
        <w:ind w:left="5" w:leftChars="0" w:right="425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Вода,</w:t>
      </w:r>
      <w:r>
        <w:rPr>
          <w:rFonts w:ascii="Times New Roman" w:hAnsi="Times New Roman" w:cs="Times New Roman"/>
          <w:spacing w:val="66"/>
        </w:rPr>
        <w:t xml:space="preserve">  </w:t>
      </w:r>
      <w:r>
        <w:rPr>
          <w:rFonts w:ascii="Times New Roman" w:hAnsi="Times New Roman" w:cs="Times New Roman"/>
        </w:rPr>
        <w:t>используемая</w:t>
      </w:r>
      <w:r>
        <w:rPr>
          <w:rFonts w:ascii="Times New Roman" w:hAnsi="Times New Roman" w:cs="Times New Roman"/>
          <w:spacing w:val="68"/>
        </w:rPr>
        <w:t xml:space="preserve"> 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67"/>
        </w:rPr>
        <w:t xml:space="preserve">  </w:t>
      </w:r>
      <w:r>
        <w:rPr>
          <w:rFonts w:ascii="Times New Roman" w:hAnsi="Times New Roman" w:cs="Times New Roman"/>
        </w:rPr>
        <w:t>питьевых</w:t>
      </w:r>
      <w:r>
        <w:rPr>
          <w:rFonts w:ascii="Times New Roman" w:hAnsi="Times New Roman" w:cs="Times New Roman"/>
          <w:spacing w:val="67"/>
        </w:rPr>
        <w:t xml:space="preserve"> 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66"/>
        </w:rPr>
        <w:t xml:space="preserve">  </w:t>
      </w:r>
      <w:r>
        <w:rPr>
          <w:rFonts w:ascii="Times New Roman" w:hAnsi="Times New Roman" w:cs="Times New Roman"/>
        </w:rPr>
        <w:t>хозяйственно-бытовых</w:t>
      </w:r>
      <w:r>
        <w:rPr>
          <w:rFonts w:ascii="Times New Roman" w:hAnsi="Times New Roman" w:cs="Times New Roman"/>
          <w:spacing w:val="67"/>
        </w:rPr>
        <w:t xml:space="preserve">  </w:t>
      </w:r>
      <w:r>
        <w:rPr>
          <w:rFonts w:ascii="Times New Roman" w:hAnsi="Times New Roman" w:cs="Times New Roman"/>
          <w:spacing w:val="-2"/>
        </w:rPr>
        <w:t>нужд, соответствует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документам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государственной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системы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 xml:space="preserve">санитарно- </w:t>
      </w:r>
      <w:r>
        <w:rPr>
          <w:rFonts w:ascii="Times New Roman" w:hAnsi="Times New Roman" w:cs="Times New Roman"/>
        </w:rPr>
        <w:t>эпидемиологического нормирования.</w:t>
      </w:r>
    </w:p>
    <w:p w14:paraId="07D520C4">
      <w:pPr>
        <w:pStyle w:val="2"/>
        <w:numPr>
          <w:numId w:val="0"/>
        </w:numPr>
        <w:tabs>
          <w:tab w:val="left" w:pos="1491"/>
        </w:tabs>
        <w:spacing w:before="239" w:line="276" w:lineRule="auto"/>
        <w:ind w:left="5" w:leftChars="0" w:right="421" w:rightChars="0" w:firstLine="699" w:firstLineChars="291"/>
        <w:jc w:val="both"/>
        <w:rPr>
          <w:rFonts w:ascii="Times New Roman" w:hAnsi="Times New Roman" w:cs="Times New Roman"/>
        </w:rPr>
      </w:pPr>
      <w:bookmarkStart w:id="8" w:name="2.3._Водный_баланс_объекта,_с_обязательн"/>
      <w:bookmarkEnd w:id="8"/>
      <w:r>
        <w:rPr>
          <w:rFonts w:ascii="Times New Roman" w:hAnsi="Times New Roman" w:cs="Times New Roman"/>
        </w:rPr>
        <w:t>Водный баланс объекта, с обязательным указанием динамики ежегодного объема забираемой свежей воды, как основного показателя экологической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эффективности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системы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водопотребления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водоотведения</w:t>
      </w:r>
    </w:p>
    <w:p w14:paraId="1656AD96">
      <w:pPr>
        <w:spacing w:before="1"/>
        <w:ind w:left="5" w:leftChars="0" w:firstLine="698" w:firstLineChars="291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при </w:t>
      </w:r>
      <w:r>
        <w:rPr>
          <w:rFonts w:ascii="Times New Roman" w:hAnsi="Times New Roman" w:cs="Times New Roman"/>
          <w:i/>
          <w:spacing w:val="-2"/>
          <w:sz w:val="24"/>
          <w:u w:val="single"/>
        </w:rPr>
        <w:t>строительстве:</w:t>
      </w:r>
    </w:p>
    <w:p w14:paraId="164E17AE">
      <w:pPr>
        <w:pStyle w:val="6"/>
        <w:spacing w:before="49" w:line="276" w:lineRule="auto"/>
        <w:ind w:left="5" w:leftChars="0" w:right="423" w:firstLine="698" w:firstLineChars="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водопотребления и водоотведения на хозяйственно-бытовые нужды работников при строительстве объекта составит:</w:t>
      </w:r>
    </w:p>
    <w:p w14:paraId="4CEF2CED">
      <w:pPr>
        <w:pStyle w:val="8"/>
        <w:numPr>
          <w:ilvl w:val="0"/>
          <w:numId w:val="2"/>
        </w:numPr>
        <w:tabs>
          <w:tab w:val="left" w:pos="988"/>
        </w:tabs>
        <w:spacing w:line="322" w:lineRule="exact"/>
        <w:ind w:left="5" w:leftChars="0" w:firstLine="698" w:firstLineChars="2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водопотребление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2,535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position w:val="7"/>
          <w:sz w:val="14"/>
        </w:rPr>
        <w:t>3</w:t>
      </w:r>
      <w:r>
        <w:rPr>
          <w:rFonts w:ascii="Times New Roman" w:hAnsi="Times New Roman" w:cs="Times New Roman"/>
          <w:sz w:val="24"/>
        </w:rPr>
        <w:t>/сут;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76,05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м</w:t>
      </w:r>
      <w:r>
        <w:rPr>
          <w:rFonts w:ascii="Times New Roman" w:hAnsi="Times New Roman" w:cs="Times New Roman"/>
          <w:spacing w:val="-2"/>
          <w:position w:val="7"/>
          <w:sz w:val="14"/>
        </w:rPr>
        <w:t>3</w:t>
      </w:r>
      <w:r>
        <w:rPr>
          <w:rFonts w:ascii="Times New Roman" w:hAnsi="Times New Roman" w:cs="Times New Roman"/>
          <w:spacing w:val="-2"/>
          <w:sz w:val="24"/>
        </w:rPr>
        <w:t>/год;</w:t>
      </w:r>
    </w:p>
    <w:p w14:paraId="0E9B5B37">
      <w:pPr>
        <w:pStyle w:val="8"/>
        <w:numPr>
          <w:ilvl w:val="0"/>
          <w:numId w:val="2"/>
        </w:numPr>
        <w:tabs>
          <w:tab w:val="left" w:pos="989"/>
        </w:tabs>
        <w:spacing w:line="323" w:lineRule="exact"/>
        <w:ind w:left="5" w:leftChars="0" w:firstLine="698" w:firstLineChars="2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водоотведение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2,535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position w:val="7"/>
          <w:sz w:val="14"/>
        </w:rPr>
        <w:t>3</w:t>
      </w:r>
      <w:r>
        <w:rPr>
          <w:rFonts w:ascii="Times New Roman" w:hAnsi="Times New Roman" w:cs="Times New Roman"/>
          <w:sz w:val="24"/>
        </w:rPr>
        <w:t>/сут;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76,05</w:t>
      </w:r>
      <w:r>
        <w:rPr>
          <w:rFonts w:ascii="Times New Roman" w:hAnsi="Times New Roman" w:cs="Times New Roman"/>
          <w:spacing w:val="-2"/>
          <w:sz w:val="24"/>
        </w:rPr>
        <w:t>м</w:t>
      </w:r>
      <w:r>
        <w:rPr>
          <w:rFonts w:ascii="Times New Roman" w:hAnsi="Times New Roman" w:cs="Times New Roman"/>
          <w:spacing w:val="-2"/>
          <w:position w:val="7"/>
          <w:sz w:val="14"/>
        </w:rPr>
        <w:t>3</w:t>
      </w:r>
      <w:r>
        <w:rPr>
          <w:rFonts w:ascii="Times New Roman" w:hAnsi="Times New Roman" w:cs="Times New Roman"/>
          <w:spacing w:val="-2"/>
          <w:sz w:val="24"/>
        </w:rPr>
        <w:t>/год.</w:t>
      </w:r>
    </w:p>
    <w:p w14:paraId="7906FBA8">
      <w:pPr>
        <w:pStyle w:val="6"/>
        <w:ind w:left="5" w:leftChars="0" w:firstLine="698" w:firstLineChars="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воды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технических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нужд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30,0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2"/>
        </w:rPr>
        <w:t>м</w:t>
      </w:r>
      <w:r>
        <w:rPr>
          <w:rFonts w:ascii="Times New Roman" w:hAnsi="Times New Roman" w:cs="Times New Roman"/>
          <w:spacing w:val="-2"/>
          <w:position w:val="7"/>
          <w:sz w:val="14"/>
        </w:rPr>
        <w:t>3</w:t>
      </w:r>
      <w:r>
        <w:rPr>
          <w:rFonts w:ascii="Times New Roman" w:hAnsi="Times New Roman" w:cs="Times New Roman"/>
          <w:spacing w:val="-2"/>
        </w:rPr>
        <w:t>/год.</w:t>
      </w:r>
    </w:p>
    <w:p w14:paraId="1BF16275">
      <w:pPr>
        <w:pStyle w:val="6"/>
        <w:spacing w:before="50"/>
        <w:ind w:left="5" w:leftChars="0" w:firstLine="698" w:firstLineChars="291"/>
        <w:rPr>
          <w:rFonts w:ascii="Times New Roman" w:hAnsi="Times New Roman" w:cs="Times New Roman"/>
        </w:rPr>
      </w:pPr>
    </w:p>
    <w:p w14:paraId="165AD0E3">
      <w:pPr>
        <w:pStyle w:val="6"/>
        <w:spacing w:before="1" w:line="276" w:lineRule="auto"/>
        <w:ind w:left="5" w:leftChars="0" w:right="422" w:firstLine="698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Водный баланс объекта представлен в таблице 2.3.1. Ежегодный забор свежей воды не предусматривается, так как продолжительность проведения строительных работ составит 60 суток.</w:t>
      </w:r>
    </w:p>
    <w:p w14:paraId="350C58A7">
      <w:pPr>
        <w:pStyle w:val="2"/>
        <w:spacing w:line="323" w:lineRule="exact"/>
        <w:ind w:left="5" w:leftChars="0" w:firstLine="681" w:firstLineChars="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Баланс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водопотребления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водоотведения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период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5"/>
        </w:rPr>
        <w:t>СМР</w:t>
      </w:r>
    </w:p>
    <w:p w14:paraId="35B1BD62">
      <w:pPr>
        <w:pStyle w:val="6"/>
        <w:spacing w:before="87" w:after="1"/>
        <w:ind w:left="5" w:leftChars="0" w:firstLine="582" w:firstLineChars="291"/>
        <w:rPr>
          <w:rFonts w:ascii="Times New Roman" w:hAnsi="Times New Roman" w:cs="Times New Roman"/>
          <w:b/>
          <w:sz w:val="20"/>
        </w:rPr>
      </w:pPr>
    </w:p>
    <w:tbl>
      <w:tblPr>
        <w:tblStyle w:val="5"/>
        <w:tblW w:w="0" w:type="auto"/>
        <w:tblInd w:w="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725"/>
        <w:gridCol w:w="981"/>
        <w:gridCol w:w="1276"/>
        <w:gridCol w:w="1415"/>
        <w:gridCol w:w="1134"/>
        <w:gridCol w:w="1141"/>
        <w:gridCol w:w="978"/>
      </w:tblGrid>
      <w:tr w14:paraId="63DFC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71" w:type="dxa"/>
            <w:vMerge w:val="restart"/>
          </w:tcPr>
          <w:p w14:paraId="7EBB33B6">
            <w:pPr>
              <w:pStyle w:val="9"/>
              <w:ind w:left="5" w:leftChars="0" w:right="106" w:firstLine="524" w:firstLineChars="29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725" w:type="dxa"/>
            <w:vMerge w:val="restart"/>
          </w:tcPr>
          <w:p w14:paraId="6EBBC886">
            <w:pPr>
              <w:pStyle w:val="9"/>
              <w:ind w:left="5" w:leftChars="0" w:right="118" w:firstLine="571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Наименован 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ие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потребител </w:t>
            </w: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я</w:t>
            </w:r>
          </w:p>
        </w:tc>
        <w:tc>
          <w:tcPr>
            <w:tcW w:w="2257" w:type="dxa"/>
            <w:gridSpan w:val="2"/>
          </w:tcPr>
          <w:p w14:paraId="35089CD0">
            <w:pPr>
              <w:pStyle w:val="9"/>
              <w:spacing w:before="32" w:line="220" w:lineRule="exact"/>
              <w:ind w:left="5" w:leftChars="0" w:right="35" w:firstLine="571" w:firstLineChars="291"/>
              <w:rPr>
                <w:rFonts w:ascii="Times New Roman" w:hAnsi="Times New Roman" w:cs="Times New Roman"/>
                <w:b/>
                <w:sz w:val="1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Водопотребление, </w:t>
            </w:r>
            <w:r>
              <w:rPr>
                <w:rFonts w:ascii="Times New Roman" w:hAnsi="Times New Roman" w:cs="Times New Roman"/>
                <w:b/>
                <w:spacing w:val="-6"/>
                <w:position w:val="-4"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pacing w:val="-6"/>
                <w:sz w:val="12"/>
              </w:rPr>
              <w:t>3</w:t>
            </w:r>
          </w:p>
        </w:tc>
        <w:tc>
          <w:tcPr>
            <w:tcW w:w="3690" w:type="dxa"/>
            <w:gridSpan w:val="3"/>
          </w:tcPr>
          <w:p w14:paraId="2674B334">
            <w:pPr>
              <w:pStyle w:val="9"/>
              <w:spacing w:line="268" w:lineRule="exact"/>
              <w:ind w:left="5" w:leftChars="0" w:firstLine="571" w:firstLineChars="291"/>
              <w:rPr>
                <w:rFonts w:ascii="Times New Roman" w:hAnsi="Times New Roman" w:cs="Times New Roman"/>
                <w:b/>
                <w:position w:val="5"/>
                <w:sz w:val="1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Водоотведение,</w:t>
            </w:r>
            <w:r>
              <w:rPr>
                <w:rFonts w:ascii="Times New Roman" w:hAnsi="Times New Roman" w:cs="Times New Roman"/>
                <w:b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"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pacing w:val="-5"/>
                <w:position w:val="5"/>
                <w:sz w:val="12"/>
              </w:rPr>
              <w:t>3</w:t>
            </w:r>
          </w:p>
        </w:tc>
        <w:tc>
          <w:tcPr>
            <w:tcW w:w="978" w:type="dxa"/>
          </w:tcPr>
          <w:p w14:paraId="660B8AFC">
            <w:pPr>
              <w:pStyle w:val="9"/>
              <w:ind w:left="5" w:leftChars="0" w:firstLine="640" w:firstLineChars="291"/>
              <w:rPr>
                <w:rFonts w:ascii="Times New Roman" w:hAnsi="Times New Roman" w:cs="Times New Roman"/>
              </w:rPr>
            </w:pPr>
          </w:p>
        </w:tc>
      </w:tr>
      <w:tr w14:paraId="54ACF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571" w:type="dxa"/>
            <w:vMerge w:val="continue"/>
            <w:tcBorders>
              <w:top w:val="nil"/>
            </w:tcBorders>
          </w:tcPr>
          <w:p w14:paraId="1C19AF7B">
            <w:pPr>
              <w:ind w:left="5" w:leftChars="0" w:firstLine="58" w:firstLineChars="29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25" w:type="dxa"/>
            <w:vMerge w:val="continue"/>
            <w:tcBorders>
              <w:top w:val="nil"/>
            </w:tcBorders>
          </w:tcPr>
          <w:p w14:paraId="206DC5A5">
            <w:pPr>
              <w:ind w:left="5" w:leftChars="0" w:firstLine="58" w:firstLineChars="29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81" w:type="dxa"/>
          </w:tcPr>
          <w:p w14:paraId="2E441B1E">
            <w:pPr>
              <w:pStyle w:val="9"/>
              <w:ind w:left="5" w:leftChars="0" w:right="81" w:firstLine="559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Хоз-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бытова </w:t>
            </w:r>
            <w:r>
              <w:rPr>
                <w:rFonts w:ascii="Times New Roman" w:hAnsi="Times New Roman" w:cs="Times New Roman"/>
                <w:b/>
                <w:sz w:val="20"/>
              </w:rPr>
              <w:t>я вода</w:t>
            </w:r>
          </w:p>
        </w:tc>
        <w:tc>
          <w:tcPr>
            <w:tcW w:w="1276" w:type="dxa"/>
          </w:tcPr>
          <w:p w14:paraId="05D10F04">
            <w:pPr>
              <w:pStyle w:val="9"/>
              <w:ind w:left="5" w:leftChars="0" w:right="149" w:firstLine="571" w:firstLineChars="29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Техничес </w:t>
            </w:r>
            <w:r>
              <w:rPr>
                <w:rFonts w:ascii="Times New Roman" w:hAnsi="Times New Roman" w:cs="Times New Roman"/>
                <w:b/>
                <w:sz w:val="20"/>
              </w:rPr>
              <w:t>кая вода</w:t>
            </w:r>
          </w:p>
        </w:tc>
        <w:tc>
          <w:tcPr>
            <w:tcW w:w="1415" w:type="dxa"/>
          </w:tcPr>
          <w:p w14:paraId="4039BA03">
            <w:pPr>
              <w:pStyle w:val="9"/>
              <w:ind w:left="5" w:leftChars="0" w:right="70" w:firstLine="571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Безвозврат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ное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потреблен 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>ие</w:t>
            </w:r>
          </w:p>
        </w:tc>
        <w:tc>
          <w:tcPr>
            <w:tcW w:w="1134" w:type="dxa"/>
          </w:tcPr>
          <w:p w14:paraId="01A1C95B">
            <w:pPr>
              <w:pStyle w:val="9"/>
              <w:ind w:left="5" w:leftChars="0" w:right="131" w:firstLine="582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Сброс в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пониже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ния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рельефа местнос</w:t>
            </w:r>
          </w:p>
          <w:p w14:paraId="36B64761">
            <w:pPr>
              <w:pStyle w:val="9"/>
              <w:spacing w:line="250" w:lineRule="exact"/>
              <w:ind w:left="5" w:leftChars="0" w:firstLine="553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0"/>
              </w:rPr>
              <w:t>ти</w:t>
            </w:r>
          </w:p>
        </w:tc>
        <w:tc>
          <w:tcPr>
            <w:tcW w:w="1141" w:type="dxa"/>
          </w:tcPr>
          <w:p w14:paraId="09DD2B3C">
            <w:pPr>
              <w:pStyle w:val="9"/>
              <w:ind w:left="5" w:leftChars="0" w:right="94" w:firstLine="582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Сброс в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существу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ющую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канализа ционну</w:t>
            </w:r>
          </w:p>
          <w:p w14:paraId="04D05752">
            <w:pPr>
              <w:pStyle w:val="9"/>
              <w:spacing w:line="250" w:lineRule="exact"/>
              <w:ind w:left="5" w:leftChars="0" w:firstLine="582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ю</w:t>
            </w:r>
            <w:r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>сеть</w:t>
            </w:r>
          </w:p>
        </w:tc>
        <w:tc>
          <w:tcPr>
            <w:tcW w:w="978" w:type="dxa"/>
          </w:tcPr>
          <w:p w14:paraId="47B292F2">
            <w:pPr>
              <w:pStyle w:val="9"/>
              <w:ind w:left="5" w:leftChars="0" w:right="108" w:firstLine="571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Сброс 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времен </w:t>
            </w: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ную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емкост</w:t>
            </w:r>
          </w:p>
          <w:p w14:paraId="28BC238F">
            <w:pPr>
              <w:pStyle w:val="9"/>
              <w:spacing w:line="250" w:lineRule="exact"/>
              <w:ind w:left="5" w:leftChars="0" w:right="4" w:firstLine="524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ь</w:t>
            </w:r>
          </w:p>
        </w:tc>
      </w:tr>
      <w:tr w14:paraId="577EE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71" w:type="dxa"/>
          </w:tcPr>
          <w:p w14:paraId="09811689">
            <w:pPr>
              <w:pStyle w:val="9"/>
              <w:spacing w:before="135"/>
              <w:ind w:left="5" w:leftChars="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725" w:type="dxa"/>
          </w:tcPr>
          <w:p w14:paraId="384A3F04">
            <w:pPr>
              <w:pStyle w:val="9"/>
              <w:spacing w:before="1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Хоз-бытовые</w:t>
            </w:r>
          </w:p>
          <w:p w14:paraId="13604D9A">
            <w:pPr>
              <w:pStyle w:val="9"/>
              <w:spacing w:before="1" w:line="247" w:lineRule="exact"/>
              <w:ind w:left="5" w:leftChars="0" w:firstLine="558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нужды</w:t>
            </w:r>
          </w:p>
        </w:tc>
        <w:tc>
          <w:tcPr>
            <w:tcW w:w="981" w:type="dxa"/>
          </w:tcPr>
          <w:p w14:paraId="708DDBEB">
            <w:pPr>
              <w:pStyle w:val="9"/>
              <w:spacing w:before="1"/>
              <w:ind w:left="5" w:leftChars="0" w:right="83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76,05</w:t>
            </w:r>
          </w:p>
        </w:tc>
        <w:tc>
          <w:tcPr>
            <w:tcW w:w="1276" w:type="dxa"/>
          </w:tcPr>
          <w:p w14:paraId="0D3AB172">
            <w:pPr>
              <w:pStyle w:val="9"/>
              <w:spacing w:before="1"/>
              <w:ind w:left="5" w:leftChars="0" w:right="2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415" w:type="dxa"/>
          </w:tcPr>
          <w:p w14:paraId="1FB62B9F">
            <w:pPr>
              <w:pStyle w:val="9"/>
              <w:spacing w:before="1"/>
              <w:ind w:left="5" w:leftChars="0" w:right="7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14:paraId="2AB437FF">
            <w:pPr>
              <w:pStyle w:val="9"/>
              <w:spacing w:before="1"/>
              <w:ind w:left="5" w:leftChars="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41" w:type="dxa"/>
          </w:tcPr>
          <w:p w14:paraId="5ED5052E">
            <w:pPr>
              <w:pStyle w:val="9"/>
              <w:spacing w:before="1"/>
              <w:ind w:left="5" w:leftChars="0" w:right="1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78" w:type="dxa"/>
          </w:tcPr>
          <w:p w14:paraId="2D34A3DB">
            <w:pPr>
              <w:pStyle w:val="9"/>
              <w:spacing w:before="1"/>
              <w:ind w:left="5" w:leftChars="0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76,05</w:t>
            </w:r>
          </w:p>
        </w:tc>
      </w:tr>
      <w:tr w14:paraId="725BE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71" w:type="dxa"/>
          </w:tcPr>
          <w:p w14:paraId="39D173F4">
            <w:pPr>
              <w:pStyle w:val="9"/>
              <w:spacing w:before="135"/>
              <w:ind w:left="5" w:leftChars="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725" w:type="dxa"/>
          </w:tcPr>
          <w:p w14:paraId="335A184E">
            <w:pPr>
              <w:pStyle w:val="9"/>
              <w:spacing w:before="1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Технические</w:t>
            </w:r>
          </w:p>
          <w:p w14:paraId="226338D0">
            <w:pPr>
              <w:pStyle w:val="9"/>
              <w:spacing w:before="1" w:line="247" w:lineRule="exact"/>
              <w:ind w:left="5" w:leftChars="0" w:firstLine="558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нужды</w:t>
            </w:r>
          </w:p>
        </w:tc>
        <w:tc>
          <w:tcPr>
            <w:tcW w:w="981" w:type="dxa"/>
          </w:tcPr>
          <w:p w14:paraId="53873A2F">
            <w:pPr>
              <w:pStyle w:val="9"/>
              <w:spacing w:before="1"/>
              <w:ind w:left="5" w:leftChars="0" w:right="85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276" w:type="dxa"/>
          </w:tcPr>
          <w:p w14:paraId="05D006E0">
            <w:pPr>
              <w:pStyle w:val="9"/>
              <w:spacing w:before="1"/>
              <w:ind w:left="5" w:leftChars="0" w:firstLine="558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30,0</w:t>
            </w:r>
          </w:p>
        </w:tc>
        <w:tc>
          <w:tcPr>
            <w:tcW w:w="1415" w:type="dxa"/>
          </w:tcPr>
          <w:p w14:paraId="18A48523">
            <w:pPr>
              <w:pStyle w:val="9"/>
              <w:spacing w:before="1"/>
              <w:ind w:left="5" w:leftChars="0" w:right="70" w:firstLine="558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</w:rPr>
              <w:t>30,0</w:t>
            </w:r>
          </w:p>
        </w:tc>
        <w:tc>
          <w:tcPr>
            <w:tcW w:w="1134" w:type="dxa"/>
          </w:tcPr>
          <w:p w14:paraId="7A94474F">
            <w:pPr>
              <w:pStyle w:val="9"/>
              <w:spacing w:before="1"/>
              <w:ind w:left="5" w:leftChars="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41" w:type="dxa"/>
          </w:tcPr>
          <w:p w14:paraId="2580995D">
            <w:pPr>
              <w:pStyle w:val="9"/>
              <w:spacing w:before="1"/>
              <w:ind w:left="5" w:leftChars="0" w:right="1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78" w:type="dxa"/>
          </w:tcPr>
          <w:p w14:paraId="51883B68">
            <w:pPr>
              <w:pStyle w:val="9"/>
              <w:spacing w:before="1"/>
              <w:ind w:left="5" w:leftChars="0" w:right="2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</w:tr>
      <w:tr w14:paraId="212E3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71" w:type="dxa"/>
          </w:tcPr>
          <w:p w14:paraId="4BDC8FE3">
            <w:pPr>
              <w:pStyle w:val="9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5" w:type="dxa"/>
          </w:tcPr>
          <w:p w14:paraId="6788D57F">
            <w:pPr>
              <w:pStyle w:val="9"/>
              <w:spacing w:line="251" w:lineRule="exact"/>
              <w:ind w:left="5" w:leftChars="0" w:firstLine="571" w:firstLineChars="29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Всего:</w:t>
            </w:r>
          </w:p>
        </w:tc>
        <w:tc>
          <w:tcPr>
            <w:tcW w:w="981" w:type="dxa"/>
          </w:tcPr>
          <w:p w14:paraId="077367C5">
            <w:pPr>
              <w:pStyle w:val="9"/>
              <w:spacing w:line="251" w:lineRule="exact"/>
              <w:ind w:left="5" w:leftChars="0" w:right="83" w:firstLine="571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76,05</w:t>
            </w:r>
          </w:p>
        </w:tc>
        <w:tc>
          <w:tcPr>
            <w:tcW w:w="1276" w:type="dxa"/>
          </w:tcPr>
          <w:p w14:paraId="7160A2FE">
            <w:pPr>
              <w:pStyle w:val="9"/>
              <w:spacing w:line="251" w:lineRule="exact"/>
              <w:ind w:left="5" w:leftChars="0" w:firstLine="559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>30,0</w:t>
            </w:r>
          </w:p>
        </w:tc>
        <w:tc>
          <w:tcPr>
            <w:tcW w:w="1415" w:type="dxa"/>
          </w:tcPr>
          <w:p w14:paraId="2359CD7B">
            <w:pPr>
              <w:pStyle w:val="9"/>
              <w:spacing w:line="251" w:lineRule="exact"/>
              <w:ind w:left="5" w:leftChars="0" w:right="70" w:firstLine="559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</w:rPr>
              <w:t>30,0</w:t>
            </w:r>
          </w:p>
        </w:tc>
        <w:tc>
          <w:tcPr>
            <w:tcW w:w="1134" w:type="dxa"/>
          </w:tcPr>
          <w:p w14:paraId="472CAE0B">
            <w:pPr>
              <w:pStyle w:val="9"/>
              <w:spacing w:line="251" w:lineRule="exact"/>
              <w:ind w:left="5" w:leftChars="0" w:firstLine="524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1141" w:type="dxa"/>
          </w:tcPr>
          <w:p w14:paraId="181DA4FB">
            <w:pPr>
              <w:pStyle w:val="9"/>
              <w:spacing w:line="251" w:lineRule="exact"/>
              <w:ind w:left="5" w:leftChars="0" w:right="1" w:firstLine="524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0"/>
              </w:rPr>
              <w:t>-</w:t>
            </w:r>
          </w:p>
        </w:tc>
        <w:tc>
          <w:tcPr>
            <w:tcW w:w="978" w:type="dxa"/>
          </w:tcPr>
          <w:p w14:paraId="444EE183">
            <w:pPr>
              <w:pStyle w:val="9"/>
              <w:spacing w:line="251" w:lineRule="exact"/>
              <w:ind w:left="5" w:leftChars="0" w:firstLine="571" w:firstLineChars="29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</w:rPr>
              <w:t>76,05</w:t>
            </w:r>
          </w:p>
        </w:tc>
      </w:tr>
    </w:tbl>
    <w:p w14:paraId="61E6B792">
      <w:pPr>
        <w:pStyle w:val="6"/>
        <w:spacing w:before="51"/>
        <w:ind w:left="5" w:leftChars="0" w:firstLine="698" w:firstLineChars="291"/>
        <w:rPr>
          <w:rFonts w:ascii="Times New Roman" w:hAnsi="Times New Roman" w:cs="Times New Roman"/>
        </w:rPr>
      </w:pPr>
    </w:p>
    <w:p w14:paraId="534263AC">
      <w:pPr>
        <w:pStyle w:val="2"/>
        <w:spacing w:after="48"/>
        <w:ind w:left="5" w:leftChars="0" w:firstLine="699" w:firstLineChars="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Лимиты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накопления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отходов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период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5"/>
        </w:rPr>
        <w:t>СМР</w:t>
      </w:r>
    </w:p>
    <w:tbl>
      <w:tblPr>
        <w:tblStyle w:val="5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1"/>
        <w:gridCol w:w="3310"/>
        <w:gridCol w:w="2513"/>
      </w:tblGrid>
      <w:tr w14:paraId="401C0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3161" w:type="dxa"/>
          </w:tcPr>
          <w:p w14:paraId="34F6AF60">
            <w:pPr>
              <w:pStyle w:val="9"/>
              <w:spacing w:before="16"/>
              <w:ind w:left="5" w:leftChars="0" w:firstLine="582" w:firstLineChars="291"/>
              <w:rPr>
                <w:rFonts w:ascii="Times New Roman" w:hAnsi="Times New Roman" w:cs="Times New Roman"/>
                <w:b/>
                <w:sz w:val="20"/>
              </w:rPr>
            </w:pPr>
          </w:p>
          <w:p w14:paraId="76B2D34F">
            <w:pPr>
              <w:pStyle w:val="9"/>
              <w:spacing w:before="1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Наименование</w:t>
            </w:r>
            <w:r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отходов</w:t>
            </w:r>
          </w:p>
        </w:tc>
        <w:tc>
          <w:tcPr>
            <w:tcW w:w="3310" w:type="dxa"/>
          </w:tcPr>
          <w:p w14:paraId="45616AF2">
            <w:pPr>
              <w:pStyle w:val="9"/>
              <w:spacing w:before="15"/>
              <w:ind w:left="5" w:leftChars="0" w:firstLine="582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</w:t>
            </w:r>
            <w:r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накопленных</w:t>
            </w:r>
            <w:r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отходов</w:t>
            </w:r>
            <w:r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на существующее положение,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тонн/год</w:t>
            </w:r>
          </w:p>
        </w:tc>
        <w:tc>
          <w:tcPr>
            <w:tcW w:w="2513" w:type="dxa"/>
          </w:tcPr>
          <w:p w14:paraId="45509976">
            <w:pPr>
              <w:pStyle w:val="9"/>
              <w:spacing w:before="150"/>
              <w:ind w:left="5" w:leftChars="0" w:right="303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Лимит</w:t>
            </w:r>
            <w:r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накопления,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тонн/год</w:t>
            </w:r>
          </w:p>
        </w:tc>
      </w:tr>
      <w:tr w14:paraId="12F1A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161" w:type="dxa"/>
          </w:tcPr>
          <w:p w14:paraId="0EF7B999">
            <w:pPr>
              <w:pStyle w:val="9"/>
              <w:spacing w:before="15"/>
              <w:ind w:left="5" w:leftChars="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3310" w:type="dxa"/>
          </w:tcPr>
          <w:p w14:paraId="5097D156">
            <w:pPr>
              <w:pStyle w:val="9"/>
              <w:spacing w:before="15"/>
              <w:ind w:left="5" w:leftChars="0" w:right="5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2513" w:type="dxa"/>
          </w:tcPr>
          <w:p w14:paraId="6B46B744">
            <w:pPr>
              <w:pStyle w:val="9"/>
              <w:spacing w:before="15"/>
              <w:ind w:left="5" w:leftChars="0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</w:tr>
      <w:tr w14:paraId="4EDB7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61" w:type="dxa"/>
          </w:tcPr>
          <w:p w14:paraId="5AF56544">
            <w:pPr>
              <w:pStyle w:val="9"/>
              <w:spacing w:before="18"/>
              <w:ind w:left="5" w:leftChars="0" w:firstLine="570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Всего</w:t>
            </w:r>
          </w:p>
        </w:tc>
        <w:tc>
          <w:tcPr>
            <w:tcW w:w="3310" w:type="dxa"/>
          </w:tcPr>
          <w:p w14:paraId="133AD971">
            <w:pPr>
              <w:pStyle w:val="9"/>
              <w:spacing w:before="27"/>
              <w:ind w:left="5" w:leftChars="0" w:right="24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513" w:type="dxa"/>
          </w:tcPr>
          <w:p w14:paraId="53B48191">
            <w:pPr>
              <w:pStyle w:val="9"/>
              <w:spacing w:before="18"/>
              <w:ind w:left="5" w:leftChars="0" w:right="18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0,08973</w:t>
            </w:r>
          </w:p>
        </w:tc>
      </w:tr>
      <w:tr w14:paraId="4D7EC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161" w:type="dxa"/>
          </w:tcPr>
          <w:p w14:paraId="54597E38">
            <w:pPr>
              <w:pStyle w:val="9"/>
              <w:tabs>
                <w:tab w:val="left" w:pos="592"/>
                <w:tab w:val="left" w:pos="1410"/>
                <w:tab w:val="left" w:pos="2411"/>
              </w:tabs>
              <w:spacing w:before="15"/>
              <w:ind w:left="5" w:leftChars="0" w:right="4" w:firstLine="523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в</w:t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том</w:t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числе</w:t>
            </w:r>
            <w:r>
              <w:rPr>
                <w:rFonts w:ascii="Times New Roman" w:hAnsi="Times New Roman" w:cs="Times New Roman"/>
                <w:sz w:val="20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отходов производства</w:t>
            </w:r>
          </w:p>
        </w:tc>
        <w:tc>
          <w:tcPr>
            <w:tcW w:w="3310" w:type="dxa"/>
          </w:tcPr>
          <w:p w14:paraId="084C0469">
            <w:pPr>
              <w:pStyle w:val="9"/>
              <w:spacing w:before="162"/>
              <w:ind w:left="5" w:leftChars="0" w:right="24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513" w:type="dxa"/>
          </w:tcPr>
          <w:p w14:paraId="6751F05B">
            <w:pPr>
              <w:pStyle w:val="9"/>
              <w:spacing w:before="15"/>
              <w:ind w:left="5" w:leftChars="0" w:right="18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0,02813</w:t>
            </w:r>
          </w:p>
        </w:tc>
      </w:tr>
      <w:tr w14:paraId="504EE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161" w:type="dxa"/>
          </w:tcPr>
          <w:p w14:paraId="138FF921">
            <w:pPr>
              <w:pStyle w:val="9"/>
              <w:spacing w:before="15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отходов</w:t>
            </w:r>
            <w:r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потребления</w:t>
            </w:r>
          </w:p>
        </w:tc>
        <w:tc>
          <w:tcPr>
            <w:tcW w:w="3310" w:type="dxa"/>
          </w:tcPr>
          <w:p w14:paraId="1555282E">
            <w:pPr>
              <w:pStyle w:val="9"/>
              <w:spacing w:before="25"/>
              <w:ind w:left="5" w:leftChars="0" w:right="24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513" w:type="dxa"/>
          </w:tcPr>
          <w:p w14:paraId="7EF3213B">
            <w:pPr>
              <w:pStyle w:val="9"/>
              <w:spacing w:before="15"/>
              <w:ind w:left="5" w:leftChars="0" w:right="15" w:firstLine="570" w:firstLineChars="291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0,</w:t>
            </w:r>
            <w:r>
              <w:rPr>
                <w:rFonts w:ascii="Times New Roman" w:hAnsi="Times New Roman" w:cs="Times New Roman"/>
                <w:spacing w:val="-2"/>
                <w:sz w:val="20"/>
                <w:lang w:val="kk-KZ"/>
              </w:rPr>
              <w:t>0616</w:t>
            </w:r>
          </w:p>
        </w:tc>
      </w:tr>
      <w:tr w14:paraId="37CEB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984" w:type="dxa"/>
            <w:gridSpan w:val="3"/>
          </w:tcPr>
          <w:p w14:paraId="7D260D07">
            <w:pPr>
              <w:pStyle w:val="9"/>
              <w:spacing w:before="18" w:line="262" w:lineRule="exact"/>
              <w:ind w:left="5" w:leftChars="0" w:right="18" w:firstLine="582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Опасные</w:t>
            </w:r>
            <w:r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отходы</w:t>
            </w:r>
          </w:p>
        </w:tc>
      </w:tr>
      <w:tr w14:paraId="3444B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61" w:type="dxa"/>
          </w:tcPr>
          <w:p w14:paraId="1190AD34">
            <w:pPr>
              <w:pStyle w:val="9"/>
              <w:spacing w:before="18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Отходы</w:t>
            </w:r>
            <w:r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от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красок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лаков</w:t>
            </w:r>
          </w:p>
        </w:tc>
        <w:tc>
          <w:tcPr>
            <w:tcW w:w="3310" w:type="dxa"/>
          </w:tcPr>
          <w:p w14:paraId="765169DF">
            <w:pPr>
              <w:pStyle w:val="9"/>
              <w:ind w:left="5" w:leftChars="0" w:firstLine="640" w:firstLineChars="291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14:paraId="2C5782E1">
            <w:pPr>
              <w:pStyle w:val="9"/>
              <w:spacing w:before="18"/>
              <w:ind w:left="5" w:leftChars="0" w:right="18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0,02588</w:t>
            </w:r>
          </w:p>
        </w:tc>
      </w:tr>
      <w:tr w14:paraId="3119A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4" w:type="dxa"/>
            <w:gridSpan w:val="3"/>
          </w:tcPr>
          <w:p w14:paraId="4B23A264">
            <w:pPr>
              <w:pStyle w:val="9"/>
              <w:spacing w:before="15"/>
              <w:ind w:left="5" w:leftChars="0" w:right="1" w:firstLine="582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</w:t>
            </w:r>
            <w:r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опасные</w:t>
            </w: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отходы</w:t>
            </w:r>
          </w:p>
        </w:tc>
      </w:tr>
      <w:tr w14:paraId="374E7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161" w:type="dxa"/>
          </w:tcPr>
          <w:p w14:paraId="40ADBD1F">
            <w:pPr>
              <w:pStyle w:val="9"/>
              <w:spacing w:before="11" w:line="270" w:lineRule="atLeast"/>
              <w:ind w:left="5" w:leftChars="0" w:right="541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Смешанные</w:t>
            </w:r>
            <w:r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коммунальные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отходы</w:t>
            </w:r>
          </w:p>
        </w:tc>
        <w:tc>
          <w:tcPr>
            <w:tcW w:w="3310" w:type="dxa"/>
          </w:tcPr>
          <w:p w14:paraId="643D2DF1">
            <w:pPr>
              <w:pStyle w:val="9"/>
              <w:spacing w:before="152"/>
              <w:ind w:left="5" w:leftChars="0" w:right="24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513" w:type="dxa"/>
          </w:tcPr>
          <w:p w14:paraId="1A187508">
            <w:pPr>
              <w:pStyle w:val="9"/>
              <w:spacing w:before="152"/>
              <w:ind w:left="5" w:leftChars="0" w:right="16" w:firstLine="570" w:firstLineChars="291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0,</w:t>
            </w:r>
            <w:r>
              <w:rPr>
                <w:rFonts w:ascii="Times New Roman" w:hAnsi="Times New Roman" w:cs="Times New Roman"/>
                <w:spacing w:val="-2"/>
                <w:sz w:val="20"/>
                <w:lang w:val="kk-KZ"/>
              </w:rPr>
              <w:t>0616</w:t>
            </w:r>
          </w:p>
        </w:tc>
      </w:tr>
      <w:tr w14:paraId="34359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161" w:type="dxa"/>
          </w:tcPr>
          <w:p w14:paraId="5961C3EC">
            <w:pPr>
              <w:pStyle w:val="9"/>
              <w:spacing w:before="15" w:line="264" w:lineRule="exact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Отходы</w:t>
            </w:r>
            <w:r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сварки</w:t>
            </w:r>
          </w:p>
        </w:tc>
        <w:tc>
          <w:tcPr>
            <w:tcW w:w="3310" w:type="dxa"/>
          </w:tcPr>
          <w:p w14:paraId="16A620B5">
            <w:pPr>
              <w:pStyle w:val="9"/>
              <w:spacing w:before="15" w:line="264" w:lineRule="exact"/>
              <w:ind w:left="5" w:leftChars="0" w:right="24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513" w:type="dxa"/>
          </w:tcPr>
          <w:p w14:paraId="7E418FC6">
            <w:pPr>
              <w:pStyle w:val="9"/>
              <w:spacing w:before="15" w:line="264" w:lineRule="exact"/>
              <w:ind w:left="5" w:leftChars="0" w:right="18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0,00225</w:t>
            </w:r>
          </w:p>
        </w:tc>
      </w:tr>
      <w:tr w14:paraId="15B1D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984" w:type="dxa"/>
            <w:gridSpan w:val="3"/>
          </w:tcPr>
          <w:p w14:paraId="081B2D9F">
            <w:pPr>
              <w:pStyle w:val="9"/>
              <w:spacing w:before="15"/>
              <w:ind w:left="5" w:leftChars="0" w:firstLine="570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</w:rPr>
              <w:t>Зеркальные</w:t>
            </w:r>
          </w:p>
        </w:tc>
      </w:tr>
      <w:tr w14:paraId="77187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61" w:type="dxa"/>
          </w:tcPr>
          <w:p w14:paraId="61A71058">
            <w:pPr>
              <w:pStyle w:val="9"/>
              <w:spacing w:before="18"/>
              <w:ind w:left="5" w:leftChars="0" w:firstLine="582" w:firstLineChars="29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перечень</w:t>
            </w:r>
            <w:r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отходов</w:t>
            </w:r>
          </w:p>
        </w:tc>
        <w:tc>
          <w:tcPr>
            <w:tcW w:w="3310" w:type="dxa"/>
          </w:tcPr>
          <w:p w14:paraId="612ADA2E">
            <w:pPr>
              <w:pStyle w:val="9"/>
              <w:spacing w:before="27"/>
              <w:ind w:left="5" w:leftChars="0" w:right="24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2513" w:type="dxa"/>
          </w:tcPr>
          <w:p w14:paraId="44010B39">
            <w:pPr>
              <w:pStyle w:val="9"/>
              <w:spacing w:before="27"/>
              <w:ind w:left="5" w:leftChars="0" w:right="19" w:firstLine="523" w:firstLineChars="29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</w:rPr>
              <w:t>-</w:t>
            </w:r>
          </w:p>
        </w:tc>
      </w:tr>
    </w:tbl>
    <w:p w14:paraId="027B5496">
      <w:pPr>
        <w:pStyle w:val="6"/>
        <w:ind w:left="5" w:leftChars="0" w:right="359" w:firstLine="686" w:firstLineChars="291"/>
        <w:jc w:val="both"/>
        <w:rPr>
          <w:rFonts w:ascii="Times New Roman" w:hAnsi="Times New Roman" w:cs="Times New Roman"/>
          <w:spacing w:val="-2"/>
        </w:rPr>
      </w:pPr>
    </w:p>
    <w:p w14:paraId="71C98483">
      <w:pPr>
        <w:pStyle w:val="3"/>
        <w:spacing w:before="1" w:line="323" w:lineRule="exact"/>
        <w:ind w:left="5" w:leftChars="0" w:firstLine="699" w:firstLineChars="291"/>
        <w:jc w:val="both"/>
        <w:rPr>
          <w:rFonts w:ascii="Times New Roman" w:hAnsi="Times New Roman" w:cs="Times New Roman"/>
          <w:lang w:val="kk-KZ"/>
        </w:rPr>
      </w:pPr>
    </w:p>
    <w:p w14:paraId="753632B0">
      <w:pPr>
        <w:pStyle w:val="2"/>
        <w:tabs>
          <w:tab w:val="left" w:pos="1231"/>
        </w:tabs>
        <w:ind w:left="5" w:leftChars="0" w:right="287" w:firstLine="699" w:firstLineChars="291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lang w:val="kk-KZ"/>
        </w:rPr>
        <w:br w:type="page"/>
      </w:r>
    </w:p>
    <w:p w14:paraId="2117F3C1">
      <w:pPr>
        <w:ind w:left="5" w:leftChars="0" w:firstLine="640" w:firstLineChars="291"/>
      </w:pPr>
    </w:p>
    <w:sectPr>
      <w:pgSz w:w="11906" w:h="16838"/>
      <w:pgMar w:top="1440" w:right="866" w:bottom="1440" w:left="11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94DA66"/>
    <w:multiLevelType w:val="multilevel"/>
    <w:tmpl w:val="4D94DA66"/>
    <w:lvl w:ilvl="0" w:tentative="0">
      <w:start w:val="0"/>
      <w:numFmt w:val="bullet"/>
      <w:lvlText w:val="-"/>
      <w:lvlJc w:val="left"/>
      <w:pPr>
        <w:ind w:left="990" w:hanging="140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4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</w:abstractNum>
  <w:abstractNum w:abstractNumId="1">
    <w:nsid w:val="6A585687"/>
    <w:multiLevelType w:val="singleLevel"/>
    <w:tmpl w:val="6A5856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90D13"/>
    <w:rsid w:val="0569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Palatino Linotype" w:hAnsi="Palatino Linotype" w:eastAsia="Palatino Linotype" w:cs="Palatino Linotype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ind w:left="284"/>
      <w:outlineLvl w:val="1"/>
    </w:pPr>
    <w:rPr>
      <w:b/>
      <w:bCs/>
      <w:sz w:val="24"/>
      <w:szCs w:val="24"/>
    </w:rPr>
  </w:style>
  <w:style w:type="paragraph" w:styleId="3">
    <w:name w:val="heading 3"/>
    <w:basedOn w:val="1"/>
    <w:qFormat/>
    <w:uiPriority w:val="1"/>
    <w:pPr>
      <w:ind w:left="284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Normal (Web)"/>
    <w:basedOn w:val="1"/>
    <w:qFormat/>
    <w:uiPriority w:val="0"/>
    <w:pPr>
      <w:autoSpaceDE/>
      <w:autoSpaceDN/>
      <w:spacing w:beforeAutospacing="1" w:afterAutospacing="1"/>
    </w:pPr>
    <w:rPr>
      <w:rFonts w:cs="Times New Roman" w:asciiTheme="minorHAnsi" w:hAnsiTheme="minorHAnsi" w:eastAsiaTheme="minorEastAsia"/>
      <w:sz w:val="24"/>
      <w:szCs w:val="24"/>
      <w:lang w:val="ru" w:eastAsia="zh-CN"/>
    </w:rPr>
  </w:style>
  <w:style w:type="paragraph" w:styleId="8">
    <w:name w:val="List Paragraph"/>
    <w:basedOn w:val="1"/>
    <w:qFormat/>
    <w:uiPriority w:val="34"/>
    <w:pPr>
      <w:ind w:left="284" w:firstLine="566"/>
    </w:pPr>
  </w:style>
  <w:style w:type="paragraph" w:customStyle="1" w:styleId="9">
    <w:name w:val="Table Paragraph"/>
    <w:basedOn w:val="1"/>
    <w:qFormat/>
    <w:uiPriority w:val="1"/>
  </w:style>
  <w:style w:type="paragraph" w:customStyle="1" w:styleId="10">
    <w:name w:val="样式 hp正文 + 首行缩进:  2 字符"/>
    <w:basedOn w:val="1"/>
    <w:qFormat/>
    <w:uiPriority w:val="0"/>
    <w:pPr>
      <w:autoSpaceDE/>
      <w:autoSpaceDN/>
      <w:spacing w:line="360" w:lineRule="auto"/>
      <w:ind w:firstLine="480" w:firstLineChars="200"/>
      <w:jc w:val="both"/>
    </w:pPr>
    <w:rPr>
      <w:rFonts w:ascii="Arial" w:hAnsi="Arial" w:cs="SimSun" w:eastAsiaTheme="minorEastAsia"/>
      <w:kern w:val="2"/>
      <w:sz w:val="24"/>
      <w:szCs w:val="20"/>
      <w:lang w:val="ru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2026-08-25T07:22:00Z</dcterms:created>
  <dc:creator>User</dc:creator>
  <cp:lastModifiedBy>User</cp:lastModifiedBy>
  <dcterms:modified xsi:type="dcterms:W3CDTF">2026-08-25T07:27:24Z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4B2A05C8F9FB4EC3A476D29FC1B5A4F2_11</vt:lpwstr>
  </property>
  <property fmtid="{D5CDD505-2E9C-101B-9397-08002B2CF9AE}" pid="4" name="KSOTemplateDocerSaveRecord">
    <vt:lpwstr>eyJoZGlkIjoiNDI0ZjBhMzhlYmU2MjQzMDk4MGE3YzkyMWQ0NTY2MjIifQ==</vt:lpwstr>
  </property>
</Properties>
</file>