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646D" w14:textId="77777777" w:rsidR="0065658B" w:rsidRDefault="00000000">
      <w:pPr>
        <w:spacing w:after="60"/>
        <w:jc w:val="center"/>
      </w:pPr>
      <w:r>
        <w:rPr>
          <w:b/>
          <w:bCs/>
          <w:sz w:val="24"/>
          <w:szCs w:val="24"/>
        </w:rPr>
        <w:t>КРАТКОЕ НЕТЕХНИЧЕСКОЕ РЕЗЮМЕ</w:t>
      </w:r>
    </w:p>
    <w:p w14:paraId="7A268FB9" w14:textId="5B70ECED" w:rsidR="0065658B" w:rsidRPr="004A5285" w:rsidRDefault="00000000">
      <w:pPr>
        <w:jc w:val="center"/>
        <w:rPr>
          <w:lang w:val="ru-RU"/>
        </w:rPr>
      </w:pPr>
      <w:r>
        <w:rPr>
          <w:sz w:val="24"/>
          <w:szCs w:val="24"/>
        </w:rPr>
        <w:t>к проект</w:t>
      </w:r>
      <w:r w:rsidR="004A5285">
        <w:rPr>
          <w:sz w:val="24"/>
          <w:szCs w:val="24"/>
          <w:lang w:val="ru-RU"/>
        </w:rPr>
        <w:t>у</w:t>
      </w:r>
    </w:p>
    <w:p w14:paraId="34649C27" w14:textId="77777777" w:rsidR="0065658B" w:rsidRDefault="00000000">
      <w:pPr>
        <w:spacing w:after="240"/>
        <w:jc w:val="center"/>
      </w:pPr>
      <w:r>
        <w:rPr>
          <w:b/>
          <w:bCs/>
          <w:sz w:val="24"/>
          <w:szCs w:val="24"/>
        </w:rPr>
        <w:t>«Строительство водогрейной котельной 100 Гкал/час на территории водогрейной котельной ЮРК в г. Алматы»</w:t>
      </w:r>
    </w:p>
    <w:p w14:paraId="12C74608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Настоящее краткое нетехническое резюме подготовлено в соответствии с пунктами 19-22 приложения 2 к Инструкции по организации и проведению экологической оценки, утверждённой приказом Министра экологии, геологии и природных ресурсов Республики Казахстан от 30 июля 2021 года № 280, в целях информирования заинтересованной общественности. Информация изложена в форме, понятной без применения специальных знаний.</w:t>
      </w:r>
    </w:p>
    <w:p w14:paraId="01D66DC9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1. Место осуществления намечаемой деятельности</w:t>
      </w:r>
    </w:p>
    <w:p w14:paraId="1A3E796F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 xml:space="preserve">Новая котельная будет построена в городе Алматы, в Бостандыкском районе, по адресу: ул. </w:t>
      </w:r>
      <w:proofErr w:type="spellStart"/>
      <w:r>
        <w:rPr>
          <w:sz w:val="24"/>
          <w:szCs w:val="24"/>
        </w:rPr>
        <w:t>Ходжанова</w:t>
      </w:r>
      <w:proofErr w:type="spellEnd"/>
      <w:r>
        <w:rPr>
          <w:sz w:val="24"/>
          <w:szCs w:val="24"/>
        </w:rPr>
        <w:t>, 37 — на территории действующей Южной районной котельной (ЮРК). Строительство ведётся в границах существующего земельного участка предприятия (кадастровый номер 20-313-017-340) площадью 2,6429 га, на месте старой паровой котельной, подлежащей демонтажу. Новые земли под строительство не изымаются. План с изображением границ участка приведён на генеральном плане в составе проектной документации.</w:t>
      </w:r>
    </w:p>
    <w:p w14:paraId="69C560C1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2. Описание затрагиваемой территории</w:t>
      </w:r>
    </w:p>
    <w:p w14:paraId="541DBD41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Площадка расположена в зоне сложившейся городской застройки Бостандыкского района г. Алматы. Ближайшие жилые дома находятся: с южной стороны — в 40 м, с западной — в 45 м, с северной — более 70 м, с восточной — более 375 м от границы участка. Ближайшая река (</w:t>
      </w:r>
      <w:proofErr w:type="spellStart"/>
      <w:r>
        <w:rPr>
          <w:sz w:val="24"/>
          <w:szCs w:val="24"/>
        </w:rPr>
        <w:t>Улкен</w:t>
      </w:r>
      <w:proofErr w:type="spellEnd"/>
      <w:r>
        <w:rPr>
          <w:sz w:val="24"/>
          <w:szCs w:val="24"/>
        </w:rPr>
        <w:t xml:space="preserve"> Алматы) протекает на расстоянии более 1 км к западу от площадки и воздействию не подвергается. Основной вид возможного воздействия — выбросы продуктов сгорания топлива в атмосферный воздух через дымовую трубу высотой 60 м, которая обеспечивает их рассеивание до безопасных концентраций. Извлечение природных ресурсов (полезных ископаемых) и захоронение отходов на площадке не планируются.</w:t>
      </w:r>
    </w:p>
    <w:p w14:paraId="13F24B18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3. Инициатор намечаемой деятельности</w:t>
      </w:r>
    </w:p>
    <w:p w14:paraId="5137A173" w14:textId="163E27A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Инициатор — Товарищество с ограниченной ответственностью «</w:t>
      </w:r>
      <w:proofErr w:type="spellStart"/>
      <w:r>
        <w:rPr>
          <w:sz w:val="24"/>
          <w:szCs w:val="24"/>
        </w:rPr>
        <w:t>Алматытеплокоммунэнерго</w:t>
      </w:r>
      <w:proofErr w:type="spellEnd"/>
      <w:r>
        <w:rPr>
          <w:sz w:val="24"/>
          <w:szCs w:val="24"/>
        </w:rPr>
        <w:t xml:space="preserve">» (ТОО «АТКЭ»), БИН 931240001318. </w:t>
      </w:r>
    </w:p>
    <w:p w14:paraId="5E39886D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4. Краткое описание намечаемой деятельности</w:t>
      </w:r>
    </w:p>
    <w:p w14:paraId="60339AA8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Вид деятельности — производство тепловой энергии для отопления и горячего водоснабжения жилых домов и объектов инфраструктуры Бостандыкского района г. Алматы.</w:t>
      </w:r>
    </w:p>
    <w:p w14:paraId="36C10FCD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В новом здании котельной будут установлены два водогрейных котла TERRAHOTS-58.2-150Н (КВ-ГМ-58,2-150Н) мощностью 58,2 МВт (50 Гкал/ч) каждый, суммарной мощностью 116,4 МВт (100 Гкал/ч). После ввода в эксплуатацию общая мощность котельной ЮРК составит 331 МВт (285 Гкал/ч). Основное топливо — природный газ, резервное (на случай перебоев с газом) — мазут, работа на котором ограничена 200 часами в год. Дымовая труба — высотой 60 м, диаметром 2,5 м. В составе объекта также предусмотрены: баки-аккумуляторы горячей воды, водоподготовительная установка, мазутное хозяйство (два резервуара по 700 м³), очистные сооружения дождевых стоков.</w:t>
      </w:r>
    </w:p>
    <w:p w14:paraId="2787ED1D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Потребности объекта: природный газ — от городских сетей газоснабжения; вода — от городского водопровода (ГКП «Алматы Су»); электроэнергия — от существующей системы электроснабжения котельной. Сточные воды отводятся в городскую канализацию.</w:t>
      </w:r>
    </w:p>
    <w:p w14:paraId="24A02982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lastRenderedPageBreak/>
        <w:t>Рассматривались варианты реконструкции существующего оборудования и нового строительства. Выбран вариант строительства новой котельной на существующей промышленной площадке: он позволяет увеличить надёжность теплоснабжения растущего района без изъятия новых земель, с использованием современных котлов с высоким коэффициентом полезного действия и более низкими удельными выбросами.</w:t>
      </w:r>
    </w:p>
    <w:p w14:paraId="2F652E01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5. Краткое описание существенных воздействий на окружающую среду</w:t>
      </w:r>
    </w:p>
    <w:p w14:paraId="57A2A4AB" w14:textId="77777777" w:rsidR="0065658B" w:rsidRDefault="00000000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 xml:space="preserve">Здоровье и условия проживания людей. </w:t>
      </w:r>
      <w:r>
        <w:rPr>
          <w:sz w:val="24"/>
          <w:szCs w:val="24"/>
        </w:rPr>
        <w:t>Расчёты рассеивания показали, что концентрации загрязняющих веществ в атмосферном воздухе на границе санитарно-защитной зоны и в жилой застройке не превысят предельно допустимых значений. Уровни шума от оборудования котельной не превысят санитарных норм для жилой территории.</w:t>
      </w:r>
    </w:p>
    <w:p w14:paraId="159418D4" w14:textId="77777777" w:rsidR="0065658B" w:rsidRDefault="00000000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 xml:space="preserve">Атмосферный воздух. </w:t>
      </w:r>
      <w:r>
        <w:rPr>
          <w:sz w:val="24"/>
          <w:szCs w:val="24"/>
        </w:rPr>
        <w:t>В период строительства (2026-2027 гг.) источниками выбросов будут строительная техника, сварочные и окрасочные работы, перемещение грунта; общий выброс за весь период строительства составит около 9 тонн. В период эксплуатации выбросы всей котельной (существующей и новой частей) не превысят установленный норматив 927,64 тонн в год.</w:t>
      </w:r>
    </w:p>
    <w:p w14:paraId="6D893549" w14:textId="77777777" w:rsidR="0065658B" w:rsidRDefault="00000000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 xml:space="preserve">Воды. </w:t>
      </w:r>
      <w:r>
        <w:rPr>
          <w:sz w:val="24"/>
          <w:szCs w:val="24"/>
        </w:rPr>
        <w:t>Сброс сточных вод в реки и другие водоёмы не предусматривается: хозяйственно-бытовые и производственные стоки направляются в городскую канализацию, дождевые стоки с территории мазутного хозяйства проходят очистку на локальных очистных сооружениях с угольными фильтрами.</w:t>
      </w:r>
    </w:p>
    <w:p w14:paraId="43CE1B2B" w14:textId="77777777" w:rsidR="0065658B" w:rsidRDefault="00000000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 xml:space="preserve">Земли и почвы. </w:t>
      </w:r>
      <w:r>
        <w:rPr>
          <w:sz w:val="24"/>
          <w:szCs w:val="24"/>
        </w:rPr>
        <w:t>Работы ведутся в границах существующей промышленной площадки; плодородный слой почвы на участке отсутствует. Загрязнение почв предотвращается твёрдыми покрытиями, обвалованием резервуаров и организованным сбором отходов.</w:t>
      </w:r>
    </w:p>
    <w:p w14:paraId="54F51EF4" w14:textId="77777777" w:rsidR="0065658B" w:rsidRDefault="00000000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 xml:space="preserve">Биоразнообразие. </w:t>
      </w:r>
      <w:r>
        <w:rPr>
          <w:sz w:val="24"/>
          <w:szCs w:val="24"/>
        </w:rPr>
        <w:t>Площадка находится в промышленной зоне города; редкие и краснокнижные виды растений и животных, пути миграции диких животных на участке отсутствуют. Проектом предусмотрены благоустройство и озеленение территории (газон), уход за существующими зелёными насаждениями и компенсационные посадки деревьев.</w:t>
      </w:r>
    </w:p>
    <w:p w14:paraId="5AB16AC7" w14:textId="77777777" w:rsidR="0065658B" w:rsidRDefault="00000000">
      <w:pPr>
        <w:spacing w:after="120"/>
        <w:ind w:firstLine="709"/>
        <w:jc w:val="both"/>
      </w:pPr>
      <w:r>
        <w:rPr>
          <w:b/>
          <w:bCs/>
          <w:sz w:val="24"/>
          <w:szCs w:val="24"/>
        </w:rPr>
        <w:t xml:space="preserve">Климат, ландшафты, историко-культурное наследие. </w:t>
      </w:r>
      <w:r>
        <w:rPr>
          <w:sz w:val="24"/>
          <w:szCs w:val="24"/>
        </w:rPr>
        <w:t>Объект не изменяет ландшафт городской промышленной территории; памятники истории и культуры в зоне влияния отсутствуют. Использование природного газа как основного топлива и высокий КПД новых котлов снижают удельные выбросы парниковых газов на единицу отпущенного тепла.</w:t>
      </w:r>
    </w:p>
    <w:p w14:paraId="635A42F6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6. Предельные показатели эмиссий и отходов</w:t>
      </w:r>
    </w:p>
    <w:p w14:paraId="18C7BC13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Нормативы допустимых выбросов в атмосферу на период эксплуатации (2025-2034 гг.): 145,68 г/с; 927,64 т/год — по всем источникам котельной. На период строительства: 3,0498 г/с; 8,9887 т за период. Сбросы в водные объекты: не предусмотрены. Отходы в период строительства: 5 495,25 т за весь период (из них опасных — 0,356 т); в период эксплуатации: 2,041 т/год. Все отходы передаются специализированным организациям или вывозятся на городской полигон по договору; захоронение отходов на площадке не планируется.</w:t>
      </w:r>
    </w:p>
    <w:p w14:paraId="4186DD2C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7. Аварийные ситуации и опасные природные явления</w:t>
      </w:r>
    </w:p>
    <w:p w14:paraId="6DDFCAA1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 xml:space="preserve">Возможные аварийные ситуации связаны с мазутным хозяйством (утечка, возгорание нефтепродуктов) и работой газового оборудования. Для их предотвращения предусмотрены: обвалование и бетонированные площадки резервуаров, автоматика безопасности котлов с отключением горелок при отклонениях от нормального режима, системы пожаротушения (включая пенотушение), очистные сооружения </w:t>
      </w:r>
      <w:proofErr w:type="spellStart"/>
      <w:r>
        <w:rPr>
          <w:sz w:val="24"/>
          <w:szCs w:val="24"/>
        </w:rPr>
        <w:t>замазученных</w:t>
      </w:r>
      <w:proofErr w:type="spellEnd"/>
      <w:r>
        <w:rPr>
          <w:sz w:val="24"/>
          <w:szCs w:val="24"/>
        </w:rPr>
        <w:t xml:space="preserve"> стоков, регулярный контроль состояния оборудования. Из опасных природных явлений для </w:t>
      </w:r>
      <w:r>
        <w:rPr>
          <w:sz w:val="24"/>
          <w:szCs w:val="24"/>
        </w:rPr>
        <w:lastRenderedPageBreak/>
        <w:t>г. Алматы характерна высокая сейсмичность — здания и сооружения запроектированы с учётом сейсмических нагрузок по действующим строительным нормам. При возникновении аварийной ситуации оповещение персонала и населения осуществляется по схеме взаимодействия с уполномоченными органами гражданской защиты; при неблагоприятных метеоусловиях (штиль, туман) по прогнозам «</w:t>
      </w:r>
      <w:proofErr w:type="spellStart"/>
      <w:r>
        <w:rPr>
          <w:sz w:val="24"/>
          <w:szCs w:val="24"/>
        </w:rPr>
        <w:t>Казгидромета</w:t>
      </w:r>
      <w:proofErr w:type="spellEnd"/>
      <w:r>
        <w:rPr>
          <w:sz w:val="24"/>
          <w:szCs w:val="24"/>
        </w:rPr>
        <w:t>» выбросы снижаются переводом котлов на газ и снижением нагрузки на 15-40%.</w:t>
      </w:r>
    </w:p>
    <w:p w14:paraId="3D6D8709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8. Меры по предотвращению и смягчению воздействий</w:t>
      </w:r>
    </w:p>
    <w:p w14:paraId="2DE24A8C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В период строительства: увлажнение грунта и пылящих поверхностей, запрет сжигания отходов и разведения костров, исправность и своевременное техобслуживание строительной техники, раздельный сбор и вывоз отходов, биотуалеты с вывозом стоков. В период эксплуатации: работа котлов на природном газе по режимным картам с регулярной наладкой горелок, производственный экологический контроль с ежегодными инструментальными замерами выбросов аккредитованной лабораторией, мероприятия при неблагоприятных метеоусловиях, эксплуатация очистных сооружений, раздельный сбор отходов и их передача специализированным организациям, уход за зелёными насаждениями.</w:t>
      </w:r>
    </w:p>
    <w:p w14:paraId="5D52B460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Намечаемая деятельность не приводит к потерям биоразнообразия, требующим компенсации, и не влечёт необратимых воздействий на окружающую среду. В случае прекращения деятельности предусматриваются демонтаж оборудования и временных сооружений, вывоз отходов, восстановление (рекультивация) нарушенных участков территории и её благоустройство.</w:t>
      </w:r>
    </w:p>
    <w:p w14:paraId="48DEA6B5" w14:textId="77777777" w:rsidR="0065658B" w:rsidRDefault="00000000">
      <w:pPr>
        <w:spacing w:before="160" w:after="120"/>
        <w:jc w:val="both"/>
      </w:pPr>
      <w:r>
        <w:rPr>
          <w:b/>
          <w:bCs/>
          <w:sz w:val="24"/>
          <w:szCs w:val="24"/>
        </w:rPr>
        <w:t>9. Источники информации</w:t>
      </w:r>
    </w:p>
    <w:p w14:paraId="20AE53CF" w14:textId="77777777" w:rsidR="0065658B" w:rsidRDefault="00000000">
      <w:pPr>
        <w:spacing w:after="120"/>
        <w:ind w:firstLine="709"/>
        <w:jc w:val="both"/>
      </w:pPr>
      <w:r>
        <w:rPr>
          <w:sz w:val="24"/>
          <w:szCs w:val="24"/>
        </w:rPr>
        <w:t>При подготовке резюме использованы: Экологический кодекс Республики Казахстан от 02.01.2021 г. № 400-VI; Инструкция по организации и проведению экологической оценки (приказ МЭГПР РК от 30.07.2021 г. № 280); раздел «Охрана окружающей среды» рабочего проекта (Том 10. Книга 1, ТОО «</w:t>
      </w:r>
      <w:proofErr w:type="spellStart"/>
      <w:r>
        <w:rPr>
          <w:sz w:val="24"/>
          <w:szCs w:val="24"/>
        </w:rPr>
        <w:t>Poligram</w:t>
      </w:r>
      <w:proofErr w:type="spellEnd"/>
      <w:r>
        <w:rPr>
          <w:sz w:val="24"/>
          <w:szCs w:val="24"/>
        </w:rPr>
        <w:t>», лицензия I категории ГСЛ № 25001843 от 22.01.2025 г.); проект нормативов допустимых выбросов на 2025-2034 гг.; Программа управления отходами на 2025-2034 гг.; Программа производственного экологического контроля; проект санитарно-защитной зоны; отчёт лесопатологического обследования; климатические данные РГП «</w:t>
      </w:r>
      <w:proofErr w:type="spellStart"/>
      <w:r>
        <w:rPr>
          <w:sz w:val="24"/>
          <w:szCs w:val="24"/>
        </w:rPr>
        <w:t>Казгидромет</w:t>
      </w:r>
      <w:proofErr w:type="spellEnd"/>
      <w:r>
        <w:rPr>
          <w:sz w:val="24"/>
          <w:szCs w:val="24"/>
        </w:rPr>
        <w:t>».</w:t>
      </w:r>
    </w:p>
    <w:sectPr w:rsidR="0065658B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E3E15"/>
    <w:multiLevelType w:val="hybridMultilevel"/>
    <w:tmpl w:val="EAF6876E"/>
    <w:lvl w:ilvl="0" w:tplc="0486FE94">
      <w:start w:val="1"/>
      <w:numFmt w:val="bullet"/>
      <w:lvlText w:val="●"/>
      <w:lvlJc w:val="left"/>
      <w:pPr>
        <w:ind w:left="720" w:hanging="360"/>
      </w:pPr>
    </w:lvl>
    <w:lvl w:ilvl="1" w:tplc="09A676AC">
      <w:start w:val="1"/>
      <w:numFmt w:val="bullet"/>
      <w:lvlText w:val="○"/>
      <w:lvlJc w:val="left"/>
      <w:pPr>
        <w:ind w:left="1440" w:hanging="360"/>
      </w:pPr>
    </w:lvl>
    <w:lvl w:ilvl="2" w:tplc="1E9CD1D8">
      <w:start w:val="1"/>
      <w:numFmt w:val="bullet"/>
      <w:lvlText w:val="■"/>
      <w:lvlJc w:val="left"/>
      <w:pPr>
        <w:ind w:left="2160" w:hanging="360"/>
      </w:pPr>
    </w:lvl>
    <w:lvl w:ilvl="3" w:tplc="C17666A8">
      <w:start w:val="1"/>
      <w:numFmt w:val="bullet"/>
      <w:lvlText w:val="●"/>
      <w:lvlJc w:val="left"/>
      <w:pPr>
        <w:ind w:left="2880" w:hanging="360"/>
      </w:pPr>
    </w:lvl>
    <w:lvl w:ilvl="4" w:tplc="D390BFBC">
      <w:start w:val="1"/>
      <w:numFmt w:val="bullet"/>
      <w:lvlText w:val="○"/>
      <w:lvlJc w:val="left"/>
      <w:pPr>
        <w:ind w:left="3600" w:hanging="360"/>
      </w:pPr>
    </w:lvl>
    <w:lvl w:ilvl="5" w:tplc="0B484732">
      <w:start w:val="1"/>
      <w:numFmt w:val="bullet"/>
      <w:lvlText w:val="■"/>
      <w:lvlJc w:val="left"/>
      <w:pPr>
        <w:ind w:left="4320" w:hanging="360"/>
      </w:pPr>
    </w:lvl>
    <w:lvl w:ilvl="6" w:tplc="ACA2629E">
      <w:start w:val="1"/>
      <w:numFmt w:val="bullet"/>
      <w:lvlText w:val="●"/>
      <w:lvlJc w:val="left"/>
      <w:pPr>
        <w:ind w:left="5040" w:hanging="360"/>
      </w:pPr>
    </w:lvl>
    <w:lvl w:ilvl="7" w:tplc="B78016F2">
      <w:start w:val="1"/>
      <w:numFmt w:val="bullet"/>
      <w:lvlText w:val="●"/>
      <w:lvlJc w:val="left"/>
      <w:pPr>
        <w:ind w:left="5760" w:hanging="360"/>
      </w:pPr>
    </w:lvl>
    <w:lvl w:ilvl="8" w:tplc="ADFE54E8">
      <w:start w:val="1"/>
      <w:numFmt w:val="bullet"/>
      <w:lvlText w:val="●"/>
      <w:lvlJc w:val="left"/>
      <w:pPr>
        <w:ind w:left="6480" w:hanging="360"/>
      </w:pPr>
    </w:lvl>
  </w:abstractNum>
  <w:num w:numId="1" w16cid:durableId="9958395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8B"/>
    <w:rsid w:val="004A5285"/>
    <w:rsid w:val="0065658B"/>
    <w:rsid w:val="00D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DF45"/>
  <w15:docId w15:val="{F65F58F7-6AB0-490F-A834-94116B52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Viola</cp:lastModifiedBy>
  <cp:revision>2</cp:revision>
  <dcterms:created xsi:type="dcterms:W3CDTF">2026-08-25T11:37:00Z</dcterms:created>
  <dcterms:modified xsi:type="dcterms:W3CDTF">2026-08-25T12:21:00Z</dcterms:modified>
</cp:coreProperties>
</file>