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25362">
      <w:pPr>
        <w:jc w:val="center"/>
        <w:rPr>
          <w:rFonts w:hint="default" w:ascii="Times New Roman" w:hAnsi="Times New Roman" w:eastAsia="Calibri"/>
          <w:b/>
          <w:lang w:val="ru-RU"/>
        </w:rPr>
      </w:pPr>
      <w:r>
        <w:rPr>
          <w:rFonts w:ascii="Times New Roman" w:hAnsi="Times New Roman" w:eastAsia="Calibri"/>
          <w:b/>
          <w:lang w:val="ru-RU"/>
        </w:rPr>
        <w:t>НЕТЕХНИЧЕСКОЕ</w:t>
      </w:r>
      <w:r>
        <w:rPr>
          <w:rFonts w:hint="default" w:ascii="Times New Roman" w:hAnsi="Times New Roman" w:eastAsia="Calibri"/>
          <w:b/>
          <w:lang w:val="ru-RU"/>
        </w:rPr>
        <w:t xml:space="preserve"> РЕЗЮМЕ</w:t>
      </w:r>
    </w:p>
    <w:p w14:paraId="20714156">
      <w:pPr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Проект нормативов допустимых выбросов к Плану горных работ разработан на период проведения добычи доломитов на участке Огизмуиз-3, расположенного в Жанакорганском районе Кызылординской области на 202</w:t>
      </w:r>
      <w:r>
        <w:rPr>
          <w:rFonts w:hint="default" w:ascii="Times New Roman" w:hAnsi="Times New Roman" w:eastAsia="Calibri"/>
          <w:b/>
          <w:lang w:val="en-US"/>
        </w:rPr>
        <w:t>6</w:t>
      </w:r>
      <w:r>
        <w:rPr>
          <w:rFonts w:ascii="Times New Roman" w:hAnsi="Times New Roman" w:eastAsia="Calibri"/>
          <w:b/>
        </w:rPr>
        <w:t>-2035 годы»</w:t>
      </w:r>
    </w:p>
    <w:p w14:paraId="46BF30C8">
      <w:pPr>
        <w:pStyle w:val="4"/>
        <w:jc w:val="both"/>
      </w:pPr>
      <w:r>
        <w:t>Добычные работы предусматриваются произвести в 2026-2035 гг. с января по декабрь месяцы. Режим работы карьера - круглогодичный, при шестидневной рабочей неделе, в одну смену, продолжительностью смены 8 часов.</w:t>
      </w:r>
    </w:p>
    <w:p w14:paraId="38D82A6D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Объем добычи  карьера за 2026-2035 годы:     </w:t>
      </w:r>
    </w:p>
    <w:p w14:paraId="0937E1DB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- 2026-2029 годы– 110 тыс. м3 ежегодно;</w:t>
      </w:r>
    </w:p>
    <w:p w14:paraId="1658126D">
      <w:pPr>
        <w:jc w:val="both"/>
      </w:pPr>
      <w:r>
        <w:rPr>
          <w:rFonts w:ascii="Times New Roman" w:hAnsi="Times New Roman" w:eastAsia="Calibri"/>
        </w:rPr>
        <w:t>-2030-2035 годы– 424 тыс. м3 ежегодно;</w:t>
      </w:r>
      <w:bookmarkStart w:id="0" w:name="_GoBack"/>
      <w:bookmarkEnd w:id="0"/>
      <w:r>
        <w:t>.</w:t>
      </w:r>
    </w:p>
    <w:p w14:paraId="39AFBFDD">
      <w:pPr>
        <w:pStyle w:val="4"/>
        <w:spacing w:line="242" w:lineRule="auto"/>
        <w:jc w:val="both"/>
      </w:pPr>
      <w:r>
        <w:t>На основании вышеизложенного санитарно-защитную зону для месторождения по добыче песчано-гравийной смеси предлагаем в размере 100 м, что соответствует 4 классу опасности.</w:t>
      </w:r>
    </w:p>
    <w:p w14:paraId="49F362FD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В соответствии с требованиями Экологического кодекса РК п 8 ст. 202 выбросы загрязняющих веществ устанавливаются на основании инструментальных замеров за последние три года.</w:t>
      </w:r>
    </w:p>
    <w:p w14:paraId="518EBE77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Пылеподавление при транспортировке горной массы осуществляется орошением водой подъездных путей.</w:t>
      </w:r>
    </w:p>
    <w:p w14:paraId="42715CA7">
      <w:pPr>
        <w:jc w:val="both"/>
      </w:pPr>
      <w:r>
        <w:rPr>
          <w:rFonts w:ascii="Times New Roman" w:hAnsi="Times New Roman" w:eastAsia="Calibri"/>
        </w:rPr>
        <w:t>Под режимом горных работ понимается последовательность вскрышных и добычных работ в границах карьерного поля, обеспечивающая планомерную, безопасную и экономически эффективную разработку месторождения за срок существования карьера. Режим работы карьера приведен в нижеследующей таблице.</w:t>
      </w:r>
    </w:p>
    <w:tbl>
      <w:tblPr>
        <w:tblStyle w:val="8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35"/>
        <w:gridCol w:w="1155"/>
        <w:gridCol w:w="1065"/>
      </w:tblGrid>
      <w:tr w14:paraId="3DC2B3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B8A8F6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Показатели</w:t>
            </w:r>
          </w:p>
        </w:tc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3F548E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Ед. изм.</w:t>
            </w:r>
          </w:p>
        </w:tc>
        <w:tc>
          <w:tcPr>
            <w:tcW w:w="10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3AEAE8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Всего</w:t>
            </w:r>
          </w:p>
        </w:tc>
      </w:tr>
      <w:tr w14:paraId="1FCD51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6EEF0B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Геологические запасы доломитов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1444E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тыс. м</w:t>
            </w:r>
            <w:r>
              <w:rPr>
                <w:rFonts w:ascii="Times New Roman" w:hAnsi="Times New Roman" w:eastAsia="Courier New" w:cs="Times New Roman"/>
                <w:vertAlign w:val="superscript"/>
                <w:lang w:val="en-US"/>
              </w:rPr>
              <w:t>3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B4427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2984,0</w:t>
            </w:r>
          </w:p>
        </w:tc>
      </w:tr>
      <w:tr w14:paraId="07A281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999D7E">
            <w:pPr>
              <w:pStyle w:val="6"/>
              <w:rPr>
                <w:rFonts w:ascii="Times New Roman" w:hAnsi="Times New Roman" w:eastAsia="Courier New" w:cs="Times New Roman"/>
                <w:lang w:val="ru-RU"/>
              </w:rPr>
            </w:pPr>
            <w:r>
              <w:rPr>
                <w:rFonts w:ascii="Times New Roman" w:hAnsi="Times New Roman" w:eastAsia="Courier New" w:cs="Times New Roman"/>
                <w:lang w:val="ru-RU"/>
              </w:rPr>
              <w:t>Потери при</w:t>
            </w:r>
            <w:r>
              <w:rPr>
                <w:rFonts w:ascii="Times New Roman" w:hAnsi="Times New Roman" w:eastAsia="Courier New" w:cs="Times New Roman"/>
                <w:w w:val="150"/>
                <w:lang w:val="ru-RU"/>
              </w:rPr>
              <w:t xml:space="preserve"> </w:t>
            </w:r>
            <w:r>
              <w:rPr>
                <w:rFonts w:ascii="Times New Roman" w:hAnsi="Times New Roman" w:eastAsia="Courier New" w:cs="Times New Roman"/>
                <w:lang w:val="ru-RU"/>
              </w:rPr>
              <w:t>транспортировке 0.5%, взрывных работах 0.5%</w:t>
            </w:r>
          </w:p>
          <w:p w14:paraId="66CDBFCB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(общие 1%)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FCD13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тыс. м</w:t>
            </w:r>
            <w:r>
              <w:rPr>
                <w:rFonts w:ascii="Times New Roman" w:hAnsi="Times New Roman" w:eastAsia="Courier New" w:cs="Times New Roman"/>
                <w:vertAlign w:val="superscript"/>
                <w:lang w:val="en-US"/>
              </w:rPr>
              <w:t>3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8597E8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29,84</w:t>
            </w:r>
          </w:p>
        </w:tc>
      </w:tr>
      <w:tr w14:paraId="200E03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D179B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Эксплуатационные запасы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8BD0F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тыс. м</w:t>
            </w:r>
            <w:r>
              <w:rPr>
                <w:rFonts w:ascii="Times New Roman" w:hAnsi="Times New Roman" w:eastAsia="Courier New" w:cs="Times New Roman"/>
                <w:vertAlign w:val="superscript"/>
                <w:lang w:val="en-US"/>
              </w:rPr>
              <w:t>3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E19A56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2954.16</w:t>
            </w:r>
          </w:p>
        </w:tc>
      </w:tr>
      <w:tr w14:paraId="0B7645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9B5E5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Глубина карьера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9127C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м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09AD5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20</w:t>
            </w:r>
          </w:p>
        </w:tc>
      </w:tr>
      <w:tr w14:paraId="2A2EDF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473330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Объем вскрышных пород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A752A6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тыс. м</w:t>
            </w:r>
            <w:r>
              <w:rPr>
                <w:rFonts w:ascii="Times New Roman" w:hAnsi="Times New Roman" w:eastAsia="Courier New" w:cs="Times New Roman"/>
                <w:vertAlign w:val="superscript"/>
                <w:lang w:val="en-US"/>
              </w:rPr>
              <w:t>3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CFD4E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149,2</w:t>
            </w:r>
          </w:p>
        </w:tc>
      </w:tr>
      <w:tr w14:paraId="4D70C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F3357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Общая годовая производительность карьера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4ECEE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тыс. м</w:t>
            </w:r>
            <w:r>
              <w:rPr>
                <w:rFonts w:ascii="Times New Roman" w:hAnsi="Times New Roman" w:eastAsia="Courier New" w:cs="Times New Roman"/>
                <w:vertAlign w:val="superscript"/>
                <w:lang w:val="en-US"/>
              </w:rPr>
              <w:t>3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9066B6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110,0</w:t>
            </w:r>
          </w:p>
        </w:tc>
      </w:tr>
      <w:tr w14:paraId="4CC7C0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9C93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Обеспеченность запасами</w:t>
            </w:r>
          </w:p>
        </w:tc>
        <w:tc>
          <w:tcPr>
            <w:tcW w:w="11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91F56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год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75C7C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10</w:t>
            </w:r>
          </w:p>
        </w:tc>
      </w:tr>
    </w:tbl>
    <w:p w14:paraId="3AD6F033">
      <w:pPr>
        <w:pStyle w:val="4"/>
      </w:pPr>
      <w:r>
        <w:t>Объёмная масса доломитов по трём измерениям составила 2,7-2,8т/м</w:t>
      </w:r>
      <w:r>
        <w:rPr>
          <w:vertAlign w:val="superscript"/>
        </w:rPr>
        <w:t>3</w:t>
      </w:r>
      <w:r>
        <w:t>, коэффициент разрыхления - 1,56.</w:t>
      </w:r>
    </w:p>
    <w:p w14:paraId="6DC9B507">
      <w:pPr>
        <w:pStyle w:val="4"/>
      </w:pPr>
      <w:r>
        <w:t>Расчет необходимого числа экскаваторов произведен из расчета объема полезного ископаемого по карьеру.</w:t>
      </w:r>
    </w:p>
    <w:p w14:paraId="2166C2BD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К вспомогательным работам относятся:</w:t>
      </w:r>
    </w:p>
    <w:p w14:paraId="64E434EC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 зачистка площадок для экскаватора и другого оборудования;</w:t>
      </w:r>
    </w:p>
    <w:p w14:paraId="5C70C16B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-устройство и содержание щитов и сланей под экскаваторы и самосвалы (при необходимости);</w:t>
      </w:r>
    </w:p>
    <w:p w14:paraId="4EDE37B1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 устройство и ремонт подъездных дорог и проездов;</w:t>
      </w:r>
    </w:p>
    <w:p w14:paraId="05C498A6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 борьба с пылью;</w:t>
      </w:r>
    </w:p>
    <w:p w14:paraId="7A21D2F4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 приведение бортов карьеров в безопасное состояние:</w:t>
      </w:r>
    </w:p>
    <w:p w14:paraId="75FCD39E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- обслуживание, профилактический осмотр и ремонт горного оборудования. Выполнение вспомогательных работ в карьерах и на отвалах предусмотрено с помощью современного горнотранспортного оборудования: работы по очистке подошвы уступа, выравнивании площадок для экскаваторов, устройстве подъездных дорог, проездов и поддержания их предусмотрено выполнять бульдозером.</w:t>
      </w:r>
    </w:p>
    <w:p w14:paraId="482AB7FB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Приведение бортов в безопасное состояние предусматривается рабочими для выполнения вспомогательных работ.</w:t>
      </w:r>
    </w:p>
    <w:p w14:paraId="4E9ADE6F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На отработанных участках месторождения проводится технический этап рекультивации. При проведении рекультивационных работ будут задействованы те же механизмы, что и при добычных работах.</w:t>
      </w:r>
    </w:p>
    <w:p w14:paraId="5843C9D6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Инженерное обеспечение месторождения:</w:t>
      </w:r>
    </w:p>
    <w:p w14:paraId="02B7C565">
      <w:pPr>
        <w:pStyle w:val="7"/>
        <w:numPr>
          <w:ilvl w:val="0"/>
          <w:numId w:val="1"/>
        </w:num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Водоснабжение – привозное;</w:t>
      </w:r>
    </w:p>
    <w:p w14:paraId="62781CDC">
      <w:pPr>
        <w:pStyle w:val="7"/>
        <w:numPr>
          <w:ilvl w:val="0"/>
          <w:numId w:val="1"/>
        </w:num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Водоотведение – биотуалеты;</w:t>
      </w:r>
    </w:p>
    <w:p w14:paraId="14B26A49">
      <w:pPr>
        <w:pStyle w:val="7"/>
        <w:numPr>
          <w:ilvl w:val="0"/>
          <w:numId w:val="1"/>
        </w:num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Электроснабжение – не предусматривается;</w:t>
      </w:r>
    </w:p>
    <w:p w14:paraId="515C6F5D">
      <w:pPr>
        <w:pStyle w:val="7"/>
        <w:numPr>
          <w:ilvl w:val="0"/>
          <w:numId w:val="1"/>
        </w:num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Теплоснабжение – не предусматривается.</w:t>
      </w:r>
    </w:p>
    <w:p w14:paraId="2C593143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Количество персонала 9 человек. Режим работы 8 часов в сутки, 305 дней в году.</w:t>
      </w:r>
    </w:p>
    <w:p w14:paraId="50EA9ABF">
      <w:pPr>
        <w:pStyle w:val="4"/>
      </w:pPr>
      <w:r>
        <w:t>Данные по технологическому оборудованию сведены в нижеследующую таблицу.</w:t>
      </w:r>
    </w:p>
    <w:tbl>
      <w:tblPr>
        <w:tblStyle w:val="8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5205"/>
        <w:gridCol w:w="1980"/>
        <w:gridCol w:w="1680"/>
      </w:tblGrid>
      <w:tr w14:paraId="40CA7A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0B2A36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№№</w:t>
            </w:r>
          </w:p>
          <w:p w14:paraId="4F61C4F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п/п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678C92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Наименование оборудования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21FAE3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Тип, марка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5CA702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Количество</w:t>
            </w:r>
          </w:p>
        </w:tc>
      </w:tr>
      <w:tr w14:paraId="05D1C9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9A836A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Основное оборудование</w:t>
            </w:r>
          </w:p>
        </w:tc>
      </w:tr>
      <w:tr w14:paraId="652672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7B5AA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E01395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Экскаватор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EC7BC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Комацу РС400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48DB6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</w:tr>
      <w:tr w14:paraId="6CF24A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E3924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</w:t>
            </w:r>
          </w:p>
        </w:tc>
        <w:tc>
          <w:tcPr>
            <w:tcW w:w="52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6913B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Автосамосвалы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EBA3D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HOWO</w:t>
            </w:r>
          </w:p>
        </w:tc>
        <w:tc>
          <w:tcPr>
            <w:tcW w:w="16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F37EA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11</w:t>
            </w:r>
          </w:p>
        </w:tc>
      </w:tr>
      <w:tr w14:paraId="6BAB7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0F23D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3</w:t>
            </w:r>
          </w:p>
        </w:tc>
        <w:tc>
          <w:tcPr>
            <w:tcW w:w="52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FD3E3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Бульдозер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F91BB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Б-10м</w:t>
            </w:r>
          </w:p>
        </w:tc>
        <w:tc>
          <w:tcPr>
            <w:tcW w:w="16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7EAA4B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</w:tr>
      <w:tr w14:paraId="793E0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7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E776DB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Вспомогательное оборудование</w:t>
            </w:r>
          </w:p>
        </w:tc>
      </w:tr>
      <w:tr w14:paraId="4C06C7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A1454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4</w:t>
            </w:r>
          </w:p>
        </w:tc>
        <w:tc>
          <w:tcPr>
            <w:tcW w:w="5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CE08E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Поливомоечная машина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BBF7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ПМ-130-Б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D0DEB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</w:tr>
      <w:tr w14:paraId="40A182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29BED0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5</w:t>
            </w:r>
          </w:p>
        </w:tc>
        <w:tc>
          <w:tcPr>
            <w:tcW w:w="52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C8F72">
            <w:pPr>
              <w:pStyle w:val="6"/>
              <w:tabs>
                <w:tab w:val="left" w:pos="1380"/>
                <w:tab w:val="left" w:pos="1950"/>
                <w:tab w:val="left" w:pos="3075"/>
                <w:tab w:val="left" w:pos="31680"/>
              </w:tabs>
              <w:rPr>
                <w:rFonts w:ascii="Times New Roman" w:hAnsi="Times New Roman" w:eastAsia="Courier New" w:cs="Times New Roman"/>
                <w:lang w:val="ru-RU"/>
              </w:rPr>
            </w:pPr>
            <w:r>
              <w:rPr>
                <w:rFonts w:ascii="Times New Roman" w:hAnsi="Times New Roman" w:eastAsia="Courier New" w:cs="Times New Roman"/>
                <w:lang w:val="ru-RU"/>
              </w:rPr>
              <w:t>Автомобиль</w:t>
            </w:r>
            <w:r>
              <w:rPr>
                <w:rFonts w:ascii="Times New Roman" w:hAnsi="Times New Roman" w:eastAsia="Courier New" w:cs="Times New Roman"/>
                <w:lang w:val="ru-RU"/>
              </w:rPr>
              <w:tab/>
            </w:r>
            <w:r>
              <w:rPr>
                <w:rFonts w:ascii="Times New Roman" w:hAnsi="Times New Roman" w:eastAsia="Courier New" w:cs="Times New Roman"/>
                <w:lang w:val="ru-RU"/>
              </w:rPr>
              <w:t>для</w:t>
            </w:r>
            <w:r>
              <w:rPr>
                <w:rFonts w:ascii="Times New Roman" w:hAnsi="Times New Roman" w:eastAsia="Courier New" w:cs="Times New Roman"/>
                <w:lang w:val="ru-RU"/>
              </w:rPr>
              <w:tab/>
            </w:r>
            <w:r>
              <w:rPr>
                <w:rFonts w:ascii="Times New Roman" w:hAnsi="Times New Roman" w:eastAsia="Courier New" w:cs="Times New Roman"/>
                <w:lang w:val="ru-RU"/>
              </w:rPr>
              <w:t>перевозки</w:t>
            </w:r>
            <w:r>
              <w:rPr>
                <w:rFonts w:ascii="Times New Roman" w:hAnsi="Times New Roman" w:eastAsia="Courier New" w:cs="Times New Roman"/>
                <w:lang w:val="ru-RU"/>
              </w:rPr>
              <w:tab/>
            </w:r>
            <w:r>
              <w:rPr>
                <w:rFonts w:ascii="Times New Roman" w:hAnsi="Times New Roman" w:eastAsia="Courier New" w:cs="Times New Roman"/>
                <w:lang w:val="ru-RU"/>
              </w:rPr>
              <w:t>рабочего</w:t>
            </w:r>
          </w:p>
          <w:p w14:paraId="3B491467">
            <w:pPr>
              <w:pStyle w:val="6"/>
              <w:rPr>
                <w:rFonts w:ascii="Times New Roman" w:hAnsi="Times New Roman" w:eastAsia="Courier New" w:cs="Times New Roman"/>
                <w:lang w:val="ru-RU"/>
              </w:rPr>
            </w:pPr>
            <w:r>
              <w:rPr>
                <w:rFonts w:ascii="Times New Roman" w:hAnsi="Times New Roman" w:eastAsia="Courier New" w:cs="Times New Roman"/>
                <w:lang w:val="ru-RU"/>
              </w:rPr>
              <w:t>персонала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B56488">
            <w:pPr>
              <w:pStyle w:val="6"/>
              <w:rPr>
                <w:rFonts w:ascii="Times New Roman" w:hAnsi="Times New Roman" w:eastAsia="Courier New" w:cs="Times New Roman"/>
                <w:lang w:val="ru-RU"/>
              </w:rPr>
            </w:pPr>
          </w:p>
        </w:tc>
        <w:tc>
          <w:tcPr>
            <w:tcW w:w="16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5F90F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</w:tr>
    </w:tbl>
    <w:p w14:paraId="52418D0B">
      <w:pPr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Сводная</w:t>
      </w:r>
      <w:r>
        <w:rPr>
          <w:rFonts w:ascii="Times New Roman" w:hAnsi="Times New Roman" w:eastAsia="Calibri"/>
          <w:b/>
        </w:rPr>
        <w:tab/>
      </w:r>
      <w:r>
        <w:rPr>
          <w:rFonts w:ascii="Times New Roman" w:hAnsi="Times New Roman" w:eastAsia="Calibri"/>
          <w:b/>
        </w:rPr>
        <w:t>таблица</w:t>
      </w:r>
      <w:r>
        <w:rPr>
          <w:rFonts w:ascii="Times New Roman" w:hAnsi="Times New Roman" w:eastAsia="Calibri"/>
          <w:b/>
        </w:rPr>
        <w:tab/>
      </w:r>
      <w:r>
        <w:rPr>
          <w:rFonts w:ascii="Times New Roman" w:hAnsi="Times New Roman" w:eastAsia="Calibri"/>
          <w:b/>
        </w:rPr>
        <w:t>годового</w:t>
      </w:r>
      <w:r>
        <w:rPr>
          <w:rFonts w:ascii="Times New Roman" w:hAnsi="Times New Roman" w:eastAsia="Calibri"/>
          <w:b/>
        </w:rPr>
        <w:tab/>
      </w:r>
      <w:r>
        <w:rPr>
          <w:rFonts w:ascii="Times New Roman" w:hAnsi="Times New Roman" w:eastAsia="Calibri"/>
          <w:b/>
        </w:rPr>
        <w:t>рабочего</w:t>
      </w:r>
      <w:r>
        <w:rPr>
          <w:rFonts w:ascii="Times New Roman" w:hAnsi="Times New Roman" w:eastAsia="Calibri"/>
          <w:b/>
        </w:rPr>
        <w:tab/>
      </w:r>
      <w:r>
        <w:rPr>
          <w:rFonts w:ascii="Times New Roman" w:hAnsi="Times New Roman" w:eastAsia="Calibri"/>
          <w:b/>
        </w:rPr>
        <w:t>времени</w:t>
      </w:r>
      <w:r>
        <w:rPr>
          <w:rFonts w:ascii="Times New Roman" w:hAnsi="Times New Roman" w:eastAsia="Calibri"/>
          <w:b/>
        </w:rPr>
        <w:tab/>
      </w:r>
      <w:r>
        <w:rPr>
          <w:rFonts w:ascii="Times New Roman" w:hAnsi="Times New Roman" w:eastAsia="Calibri"/>
          <w:b/>
        </w:rPr>
        <w:t>основного технологического оборудования</w:t>
      </w:r>
    </w:p>
    <w:tbl>
      <w:tblPr>
        <w:tblStyle w:val="8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0"/>
        <w:gridCol w:w="2745"/>
        <w:gridCol w:w="645"/>
        <w:gridCol w:w="1080"/>
        <w:gridCol w:w="885"/>
        <w:gridCol w:w="915"/>
        <w:gridCol w:w="1065"/>
        <w:gridCol w:w="1350"/>
      </w:tblGrid>
      <w:tr w14:paraId="14EB9D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083330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№</w:t>
            </w:r>
          </w:p>
        </w:tc>
        <w:tc>
          <w:tcPr>
            <w:tcW w:w="27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58BAF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Наименование оборудования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C0DF9A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Кол во</w:t>
            </w: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ED1C8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К-во раб.дн</w:t>
            </w:r>
          </w:p>
        </w:tc>
        <w:tc>
          <w:tcPr>
            <w:tcW w:w="8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59FF63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К-во смен</w:t>
            </w:r>
          </w:p>
        </w:tc>
        <w:tc>
          <w:tcPr>
            <w:tcW w:w="9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6B878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Прод. смены</w:t>
            </w:r>
          </w:p>
        </w:tc>
        <w:tc>
          <w:tcPr>
            <w:tcW w:w="10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27575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Коэф. испол</w:t>
            </w:r>
          </w:p>
        </w:tc>
        <w:tc>
          <w:tcPr>
            <w:tcW w:w="13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2DC0C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Годовой фонд</w:t>
            </w:r>
          </w:p>
        </w:tc>
      </w:tr>
      <w:tr w14:paraId="66F159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A53CC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27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69DE93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Экскаватор</w:t>
            </w:r>
          </w:p>
          <w:p w14:paraId="756FFA4A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КомацуРС400</w:t>
            </w:r>
          </w:p>
        </w:tc>
        <w:tc>
          <w:tcPr>
            <w:tcW w:w="6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6234A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062FE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305</w:t>
            </w:r>
          </w:p>
        </w:tc>
        <w:tc>
          <w:tcPr>
            <w:tcW w:w="8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0E273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9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5FC978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8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EDD2D1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0,80</w:t>
            </w:r>
          </w:p>
        </w:tc>
        <w:tc>
          <w:tcPr>
            <w:tcW w:w="13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7260C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1952</w:t>
            </w:r>
          </w:p>
        </w:tc>
      </w:tr>
      <w:tr w14:paraId="3C97E8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4FE34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</w:t>
            </w:r>
          </w:p>
        </w:tc>
        <w:tc>
          <w:tcPr>
            <w:tcW w:w="27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8FA3D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Бульдозер Б-10м</w:t>
            </w:r>
          </w:p>
        </w:tc>
        <w:tc>
          <w:tcPr>
            <w:tcW w:w="6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572D5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616BD6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305</w:t>
            </w:r>
          </w:p>
        </w:tc>
        <w:tc>
          <w:tcPr>
            <w:tcW w:w="8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A49CF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9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047DBD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8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5A326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0,40</w:t>
            </w:r>
          </w:p>
        </w:tc>
        <w:tc>
          <w:tcPr>
            <w:tcW w:w="13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95B133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976</w:t>
            </w:r>
          </w:p>
        </w:tc>
      </w:tr>
      <w:tr w14:paraId="0035D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D70A0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3</w:t>
            </w:r>
          </w:p>
        </w:tc>
        <w:tc>
          <w:tcPr>
            <w:tcW w:w="27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014768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Автосамосвалы</w:t>
            </w:r>
          </w:p>
          <w:p w14:paraId="23131666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HOWO</w:t>
            </w:r>
          </w:p>
        </w:tc>
        <w:tc>
          <w:tcPr>
            <w:tcW w:w="6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648F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11</w:t>
            </w:r>
          </w:p>
        </w:tc>
        <w:tc>
          <w:tcPr>
            <w:tcW w:w="10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0A7F77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305</w:t>
            </w:r>
          </w:p>
        </w:tc>
        <w:tc>
          <w:tcPr>
            <w:tcW w:w="8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7F7F7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9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6BC6E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8</w:t>
            </w:r>
          </w:p>
        </w:tc>
        <w:tc>
          <w:tcPr>
            <w:tcW w:w="10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1C1B95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0,80</w:t>
            </w:r>
          </w:p>
        </w:tc>
        <w:tc>
          <w:tcPr>
            <w:tcW w:w="13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64129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13664</w:t>
            </w:r>
          </w:p>
        </w:tc>
      </w:tr>
    </w:tbl>
    <w:p w14:paraId="6ECA14FB">
      <w:pPr>
        <w:pStyle w:val="4"/>
        <w:rPr>
          <w:b/>
        </w:rPr>
      </w:pPr>
      <w:r>
        <w:rPr>
          <w:b/>
        </w:rPr>
        <w:t xml:space="preserve"> </w:t>
      </w:r>
    </w:p>
    <w:p w14:paraId="50D6FBCD">
      <w:pPr>
        <w:pStyle w:val="7"/>
        <w:widowControl w:val="0"/>
        <w:tabs>
          <w:tab w:val="left" w:pos="1065"/>
          <w:tab w:val="left" w:pos="31680"/>
        </w:tabs>
        <w:autoSpaceDE w:val="0"/>
        <w:autoSpaceDN w:val="0"/>
        <w:jc w:val="both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Штаты трудящихся</w:t>
      </w:r>
    </w:p>
    <w:tbl>
      <w:tblPr>
        <w:tblStyle w:val="8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5775"/>
        <w:gridCol w:w="1290"/>
        <w:gridCol w:w="1305"/>
      </w:tblGrid>
      <w:tr w14:paraId="65D6FE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1BF0F1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№ п/п</w:t>
            </w:r>
          </w:p>
        </w:tc>
        <w:tc>
          <w:tcPr>
            <w:tcW w:w="577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1C623B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Категория трудящихся</w:t>
            </w:r>
          </w:p>
        </w:tc>
        <w:tc>
          <w:tcPr>
            <w:tcW w:w="25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82D705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Численность</w:t>
            </w:r>
          </w:p>
        </w:tc>
      </w:tr>
      <w:tr w14:paraId="6FC22F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3122B4A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hAnsi="Times New Roman" w:eastAsia="Courier New"/>
                <w:lang w:val="en-US"/>
              </w:rPr>
            </w:pPr>
          </w:p>
        </w:tc>
        <w:tc>
          <w:tcPr>
            <w:tcW w:w="577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2E40DB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hAnsi="Times New Roman" w:eastAsia="Courier New"/>
                <w:lang w:val="en-US"/>
              </w:rPr>
            </w:pP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D1788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на карьер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4592C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общая</w:t>
            </w:r>
          </w:p>
        </w:tc>
      </w:tr>
      <w:tr w14:paraId="581E89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C09428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57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B51E84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Машинист экскаватора КомацуРС400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25DBF8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791A1A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</w:tr>
      <w:tr w14:paraId="62C4BD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F156B0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2</w:t>
            </w:r>
          </w:p>
        </w:tc>
        <w:tc>
          <w:tcPr>
            <w:tcW w:w="57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AAA3F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Бульдозерист Б-10м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8DEAD8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08BF39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1</w:t>
            </w:r>
          </w:p>
        </w:tc>
      </w:tr>
      <w:tr w14:paraId="154CF8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15AFFF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3</w:t>
            </w:r>
          </w:p>
        </w:tc>
        <w:tc>
          <w:tcPr>
            <w:tcW w:w="57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9572E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Водители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438F6B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7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F40BCE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  <w:r>
              <w:rPr>
                <w:rFonts w:ascii="Times New Roman" w:hAnsi="Times New Roman" w:eastAsia="Courier New" w:cs="Times New Roman"/>
                <w:lang w:val="en-US"/>
              </w:rPr>
              <w:t>7</w:t>
            </w:r>
          </w:p>
        </w:tc>
      </w:tr>
      <w:tr w14:paraId="5C85ED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AFBB8C">
            <w:pPr>
              <w:pStyle w:val="6"/>
              <w:rPr>
                <w:rFonts w:ascii="Times New Roman" w:hAnsi="Times New Roman" w:eastAsia="Courier New" w:cs="Times New Roman"/>
                <w:lang w:val="en-US"/>
              </w:rPr>
            </w:pPr>
          </w:p>
        </w:tc>
        <w:tc>
          <w:tcPr>
            <w:tcW w:w="577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92C0AE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Всего трудящихся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8D3CB7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9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6F7D63">
            <w:pPr>
              <w:pStyle w:val="6"/>
              <w:rPr>
                <w:rFonts w:ascii="Times New Roman" w:hAnsi="Times New Roman" w:eastAsia="Courier New" w:cs="Times New Roman"/>
                <w:b/>
                <w:lang w:val="en-US"/>
              </w:rPr>
            </w:pPr>
            <w:r>
              <w:rPr>
                <w:rFonts w:ascii="Times New Roman" w:hAnsi="Times New Roman" w:eastAsia="Courier New" w:cs="Times New Roman"/>
                <w:b/>
                <w:lang w:val="en-US"/>
              </w:rPr>
              <w:t>9</w:t>
            </w:r>
          </w:p>
        </w:tc>
      </w:tr>
    </w:tbl>
    <w:p w14:paraId="37816462">
      <w:pPr>
        <w:jc w:val="both"/>
        <w:rPr>
          <w:rFonts w:ascii="Times New Roman" w:hAnsi="Times New Roman" w:eastAsia="Calibri"/>
          <w:color w:val="3F3F3F"/>
        </w:rPr>
      </w:pPr>
      <w:r>
        <w:rPr>
          <w:rFonts w:ascii="Times New Roman" w:hAnsi="Times New Roman" w:eastAsia="Calibri"/>
        </w:rPr>
        <w:t>Разведанное месторождения доломитов на участке Огизмуиз-3 расположено в урочище Огизмуиз, восточнее полиметаллического месторождения Шалкия, в 20 км к юго-западу от железнодорожной станции Жанакорган, в 180 км от областного центра г.Кызылорда.</w:t>
      </w:r>
    </w:p>
    <w:p w14:paraId="111EBB02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Месторождение с железнодорожной станцией связано насыпной шоссейной дорогой. Через пос.Жанакорган проходит асфальтированная автотрасса Алматы-Кызылорда, от которой во все стороны отходят степные грунтовые дороги. Рядом находится рудник «Шалкия».</w:t>
      </w:r>
    </w:p>
    <w:p w14:paraId="368E4DEA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Площадь месторождения примыкает с севера к ранее разведанному Жанакорганскому месторождению доломитов и, по сути, является его предложением.</w:t>
      </w:r>
    </w:p>
    <w:p w14:paraId="11B9AA1C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Месторождение приурочено к карбонатным отложениям турланской свиты нижней подсвиты шукурганского горизонта, и сложено доломитами и доломитизированными известняками, моноклинально падающими на юго-восток под углом 10-30°.</w:t>
      </w:r>
    </w:p>
    <w:p w14:paraId="71C8C0E0">
      <w:r>
        <w:rPr>
          <w:rFonts w:ascii="Times New Roman" w:hAnsi="Times New Roman" w:eastAsia="Calibri"/>
        </w:rPr>
        <w:t xml:space="preserve">Месторождение в плане представляет собой четырехугольник неправильной формы, площадью 6,1 га. </w:t>
      </w:r>
    </w:p>
    <w:p w14:paraId="7166EE33">
      <w:pPr>
        <w:pStyle w:val="4"/>
        <w:jc w:val="both"/>
      </w:pPr>
      <w:r>
        <w:t>Водоснабжение населенных пунктов питьевой и технической водой осуществляется, в основном, за счёт водозаборов эксплуатируемых месторождений подземных вод.</w:t>
      </w:r>
    </w:p>
    <w:p w14:paraId="34FD6FC5">
      <w:pPr>
        <w:pStyle w:val="4"/>
        <w:jc w:val="both"/>
      </w:pPr>
      <w:r>
        <w:t>В районе имеется много ранее разведанных месторождений строительных материалов и другого нерудного сырья. Разведанное месторождение строительного</w:t>
      </w:r>
    </w:p>
    <w:p w14:paraId="31C15E89">
      <w:pPr>
        <w:pStyle w:val="4"/>
        <w:jc w:val="both"/>
      </w:pPr>
      <w:r>
        <w:t>камня примыкает к Жанакорганскому месторождению доломитов и является его продолжением.</w:t>
      </w:r>
    </w:p>
    <w:p w14:paraId="66E1E5FC">
      <w:pPr>
        <w:pStyle w:val="4"/>
        <w:jc w:val="both"/>
      </w:pPr>
      <w:r>
        <w:t>Впервые геологоразведочные работы на Жанакорганском месторождении строительного камня (доломитов) проводились в 1955 году Алма-Атинской нерудной экспедицией бывшего "Средазгеолнерудтреста" МПСМ СССР. Качество доломитов изучалось на незначительном количестве проб, отобранных из различных выработок на разных горизонтах. Испытания этих проб проводилось не в полном объёме.</w:t>
      </w:r>
    </w:p>
    <w:p w14:paraId="513C49C3">
      <w:pPr>
        <w:pStyle w:val="4"/>
        <w:jc w:val="both"/>
      </w:pPr>
      <w:r>
        <w:t>На основе проведённых испытаний доломиты Жанакорганского месторождения пригодны для производства щебня, используемого качестве крупного заполнителя в бетонах марок "400" и выше и для приготовления горячих, тёплых асфальтобетонных смесей и цементобетона марки "400".</w:t>
      </w:r>
    </w:p>
    <w:p w14:paraId="79C93D76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Основными процессами, приводящими к загрязнению воздуха, являются работы спецтехники, буровзрывные и выемочно-погрузочные работы. </w:t>
      </w:r>
    </w:p>
    <w:p w14:paraId="4CB8E316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  <w:i/>
        </w:rPr>
        <w:t>Характеристика источников вредных выбросов.</w:t>
      </w:r>
      <w:r>
        <w:rPr>
          <w:rFonts w:ascii="Times New Roman" w:hAnsi="Times New Roman" w:eastAsia="Calibri"/>
        </w:rPr>
        <w:t xml:space="preserve"> На территории карьера будут функционировать 5 неорганизованных источников загрязнения воздушного бассейна. Основными процессами, приводящими к загрязнению воздуха, являются вскрышные, буровзрывные, добычные, автотранспортные, рекультивационные работы и отвал вскрыши. </w:t>
      </w:r>
    </w:p>
    <w:p w14:paraId="71F6F152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  <w:i/>
          <w:u w:val="single"/>
        </w:rPr>
        <w:t>Источник загрязнения №6001, Вскрышные работы.</w:t>
      </w:r>
      <w:r>
        <w:rPr>
          <w:rFonts w:ascii="Times New Roman" w:hAnsi="Times New Roman" w:eastAsia="Calibri"/>
        </w:rPr>
        <w:t xml:space="preserve"> Отвалы вскрышных пород рассматриваются как крупные объекты, не уступающие карьерам. Вскрышные породы подразделяются на пригодные и непригодные для использования в народном хозяйстве. Вскрышные породы непригодные для использования в народном хозяйстве размещаются вне карьера за пределами контура горного отвода. Мощность суглинков и супесей с обломками коренных пород, перекрывающих известняки, составляет от 0 до 1,9м, средняя – 0,32м. К вскрыше отнесены и карстовые зоны, заполненные карбонатно-глинистым материалом с обломками коренных пород, вскрытые с поверхности канавами, а также частично подробленные и кавернозные доломиты, приуроченные к карстовой зоне. Породы полезной толщи трещиноваты, местами подроблены, слабо закарстованы. Поверхностный карст отнесен к рыхлой вскрыше, а мощная карстовая зона, выполненная доломитовой брекчией на карбонатном цементе, вместе с вышележащими породами является скальной вскрышей при отработке полезной толщи. Режим работы на снятии вскрышных пород принимается сезонный в период положительных температур, в одну смену. При вскрышных работах в атмосферный воздух выделяется неорганическая пыль. Неорганизованный источник выбросов.</w:t>
      </w:r>
    </w:p>
    <w:p w14:paraId="3B26F5AA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  <w:i/>
          <w:u w:val="single"/>
        </w:rPr>
        <w:t xml:space="preserve"> Источники загрязнения №6002, Буровзрывные работы. </w:t>
      </w:r>
      <w:r>
        <w:rPr>
          <w:rFonts w:ascii="Times New Roman" w:hAnsi="Times New Roman" w:eastAsia="Calibri"/>
        </w:rPr>
        <w:t xml:space="preserve">В прочных карбонатных породах наиболее эффективно шарошечное бурение. Для бурения пород с коэффициентом крепости f=10-14 используются зубчатые долота типа Т и штыревые долота типа ТЗ с клиновидными твердосплавными зубками, пород с f = 10 14 - штыревые долота типа ОК, пород с f &gt;14 - штыревые долота типа ОКП. На карьерах небольшой производительности в прочных карбонатных породах со станками с шарошечным бурением успешно конкурируют станки с погружными пневмоударниками. Они также эффективны при обуривании неоднородных по прочности массивов скважинами относительно малого диаметра (65 - 110мм). Эффективность ударно-вращательного бурения зависит от осевого давления на долото, скорости вращения - расхода сжатого воздуха. Учитывая горно-геологические условия по аналогии разрабатываемых месторождений, качественную характеристику полезных ископаемых и плановую производительность карьеров, чаще всего принимается наиболее оптимальное буровое оборудование нижеследующего типа: 1) буровой станок с использованием погружного пневмоударного бурения - СБУ-100 - 1шт. Диаметр скважин соответственно - 200 мм. При буровзрывных работах в атмосферный воздух выделяется пыль неорганическая, углерод оксид, оксиды азота. Неорганизованный источник выбросов. </w:t>
      </w:r>
    </w:p>
    <w:p w14:paraId="59C0C68D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  <w:i/>
          <w:u w:val="single"/>
        </w:rPr>
        <w:t xml:space="preserve">Источник загрязнения №6003, Добычные работы. </w:t>
      </w:r>
      <w:r>
        <w:rPr>
          <w:rFonts w:ascii="Times New Roman" w:hAnsi="Times New Roman" w:eastAsia="Calibri"/>
        </w:rPr>
        <w:t xml:space="preserve">Добычные работы производятся экскаватором, емкость ковша 1,9 м3. Вывозка пород осуществляется автосамосвалами. Движение автотранспорта в карьере обуславливавет выделение пыли в результате взаимодействия колес с полотном дороги и сдувания ее с поверхности материала, груженного в кузове машины. При работе в атмосферный воздух выделяется пыль неорганическая. Неорганизованный источник выброса. </w:t>
      </w:r>
    </w:p>
    <w:p w14:paraId="635364AB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  <w:i/>
          <w:u w:val="single"/>
        </w:rPr>
        <w:t>Источник загрязнения №6004, Рекультивационные работы.</w:t>
      </w:r>
      <w:r>
        <w:rPr>
          <w:rFonts w:ascii="Times New Roman" w:hAnsi="Times New Roman" w:eastAsia="Calibri"/>
        </w:rPr>
        <w:t xml:space="preserve"> Рекультивационные работы будут проводиться по мере продвижения фронта работ и освобождения площадей параллельно, с добычными. Выбор вида рекультивации, ее целесообразность определяется совокупностью природно-климатических, экологических и технологических факторов, а также хозяйственной инфраструктурой. Рекультивируемый карьер находится на полупустынной зоне на землях, характеризующихся низким естественным плодородием, подверженных эрозии, в связи с чем имеющих ограниченное хозяйственное использование в качестве сезонных пастбищ с бедным видовым составом трав.</w:t>
      </w:r>
    </w:p>
    <w:p w14:paraId="55245DAE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Планом горных работ предусматривается раздельная разработка полезной толщи и внешней вскрыши. После отработки карьеров образуются котлованы глубиной до 50,5 метров. </w:t>
      </w:r>
    </w:p>
    <w:p w14:paraId="6133B610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Кроме того, в районе карьера в составе сельскохозяйственных угодий ведущее место занимают пастбища, поэтому предусматривается освоение части рекультивируемых земель в порядке коренного улучшения пастбищных земель посевом перспективных полупустынных полукустарниковых растений.</w:t>
      </w:r>
    </w:p>
    <w:p w14:paraId="0A9B4428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Затраты на производство работ по рекультивации и выполняемые в ходе эксплуатации месторождения, включаются в смету эксплуатационных расходов и относятся на себестоимость продукции предприятия. Более подробное рекультивационные работы описаны в проекте ликвидации. </w:t>
      </w:r>
    </w:p>
    <w:p w14:paraId="64ABEC8E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При рекультивации карьера в атмосферный воздух выделяется неорганическая пыль. Неорганизованный источник выброса. </w:t>
      </w:r>
    </w:p>
    <w:p w14:paraId="5D08D86B">
      <w:pPr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  <w:i/>
          <w:u w:val="single"/>
        </w:rPr>
        <w:t xml:space="preserve">Источник загрязнения №6005, Отвал вскрыши. </w:t>
      </w:r>
      <w:r>
        <w:rPr>
          <w:rFonts w:ascii="Times New Roman" w:hAnsi="Times New Roman" w:eastAsia="Calibri"/>
        </w:rPr>
        <w:t>Вскрышные породы на всю свою мощность предварительно будут удалены бульдозером и складированы в специальный отвал, с целью дальнейшего их использования при рекультивации карьера. Также частично предусматривается разработка полезного ископаемого при проходке внутрикарьерной дороги для транспортировки вскрышных пород на подошву отработанного участка. При отвале вскрыши в атмосферный воздух выделяется пыль неорганическая. Неорганизованный источник выброса. Спецтехника (экскаватор, бульдозер, самосвалы). Вся производственная и вспомогательная техника работает на дизельном топливе. При работе спецтехники, в атмосферу выделяются продукты неполного сгорания топлива. Валовые выбросы от спецтехники и передвижного автотранспорта не нормируются.</w:t>
      </w:r>
    </w:p>
    <w:p w14:paraId="1E456FCA">
      <w:pPr>
        <w:tabs>
          <w:tab w:val="left" w:pos="0"/>
          <w:tab w:val="left" w:pos="1080"/>
          <w:tab w:val="left" w:pos="100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Лимиты накопления отходов для горных работ на 2026-2035 годы.</w:t>
      </w:r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40"/>
        <w:gridCol w:w="2115"/>
        <w:gridCol w:w="1560"/>
        <w:gridCol w:w="1575"/>
      </w:tblGrid>
      <w:tr w14:paraId="22E9B130">
        <w:tc>
          <w:tcPr>
            <w:tcW w:w="35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79AF57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</w:rPr>
            </w:pPr>
          </w:p>
          <w:p w14:paraId="7D18F74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отходов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E1029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накопленных отходов на существующее положение, тонн/год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4491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Лимит накопления, от 1 ед. </w:t>
            </w:r>
          </w:p>
          <w:p w14:paraId="21C5889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тонн/год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67FC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Лимит накопления, от 3 ед. </w:t>
            </w:r>
          </w:p>
          <w:p w14:paraId="48819F7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тонн/год</w:t>
            </w:r>
          </w:p>
        </w:tc>
      </w:tr>
      <w:tr w14:paraId="029434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2C556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99"/>
              </w:rPr>
              <w:t>1</w:t>
            </w:r>
          </w:p>
        </w:tc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1D0F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99"/>
              </w:rPr>
              <w:t>2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B1249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99"/>
              </w:rPr>
              <w:t>4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D209A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w w:val="99"/>
              </w:rPr>
            </w:pPr>
          </w:p>
        </w:tc>
      </w:tr>
      <w:tr w14:paraId="3DBCFE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D8D4DD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9CE4D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3C9F5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0,675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D3CDD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2,025</w:t>
            </w:r>
          </w:p>
        </w:tc>
      </w:tr>
      <w:tr w14:paraId="37F440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CF410E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отходов производства</w:t>
            </w:r>
          </w:p>
        </w:tc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0FACB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6BCCE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A1E7A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00AE4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A6694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отходов потребления</w:t>
            </w:r>
          </w:p>
        </w:tc>
        <w:tc>
          <w:tcPr>
            <w:tcW w:w="2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C2EB2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ACE69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0,675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7C22C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2,025</w:t>
            </w:r>
          </w:p>
        </w:tc>
      </w:tr>
      <w:tr w14:paraId="61C2B2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9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B66B3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Опасные отходы</w:t>
            </w:r>
          </w:p>
        </w:tc>
      </w:tr>
      <w:tr w14:paraId="5469AC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FE3633">
            <w:pPr>
              <w:widowControl w:val="0"/>
              <w:tabs>
                <w:tab w:val="left" w:pos="1245"/>
                <w:tab w:val="left" w:pos="3060"/>
                <w:tab w:val="left" w:pos="31680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5E89E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2D522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783AB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246B14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9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F7C68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опасные отходы</w:t>
            </w:r>
          </w:p>
        </w:tc>
      </w:tr>
      <w:tr w14:paraId="679683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2B2733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Твердо-бытовые отходы (200301)</w:t>
            </w:r>
          </w:p>
        </w:tc>
        <w:tc>
          <w:tcPr>
            <w:tcW w:w="2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BDAC1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ACC1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0,675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B40FF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2,025</w:t>
            </w:r>
          </w:p>
        </w:tc>
      </w:tr>
      <w:tr w14:paraId="78829D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90" w:type="dxa"/>
            <w:gridSpan w:val="4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889D4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Зеркальные отходы</w:t>
            </w:r>
          </w:p>
        </w:tc>
      </w:tr>
    </w:tbl>
    <w:p w14:paraId="3F66DB48">
      <w:pPr>
        <w:rPr>
          <w:rFonts w:ascii="Times New Roman" w:hAnsi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2C4A98"/>
    <w:multiLevelType w:val="multilevel"/>
    <w:tmpl w:val="372C4A98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D4FF2"/>
    <w:rsid w:val="00221EA8"/>
    <w:rsid w:val="00440838"/>
    <w:rsid w:val="0059342B"/>
    <w:rsid w:val="0075601D"/>
    <w:rsid w:val="007A36E7"/>
    <w:rsid w:val="007D4FF2"/>
    <w:rsid w:val="00B277C5"/>
    <w:rsid w:val="00B4279B"/>
    <w:rsid w:val="08AC2716"/>
    <w:rsid w:val="24EC2D9F"/>
    <w:rsid w:val="2DC0785E"/>
    <w:rsid w:val="379238FC"/>
    <w:rsid w:val="3DC744DF"/>
    <w:rsid w:val="5A07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unhideWhenUsed/>
    <w:qFormat/>
    <w:uiPriority w:val="99"/>
    <w:pPr>
      <w:spacing w:line="240" w:lineRule="auto"/>
    </w:pPr>
    <w:rPr>
      <w:rFonts w:ascii="Times New Roman" w:hAnsi="Times New Roman" w:eastAsia="SimSun"/>
    </w:rPr>
  </w:style>
  <w:style w:type="character" w:customStyle="1" w:styleId="5">
    <w:name w:val="Основной текст Знак"/>
    <w:basedOn w:val="2"/>
    <w:link w:val="4"/>
    <w:qFormat/>
    <w:uiPriority w:val="99"/>
    <w:rPr>
      <w:rFonts w:ascii="Times New Roman" w:hAnsi="Times New Roman" w:eastAsia="SimSun" w:cs="Times New Roman"/>
      <w:sz w:val="24"/>
      <w:szCs w:val="24"/>
      <w:lang w:eastAsia="ru-RU"/>
    </w:rPr>
  </w:style>
  <w:style w:type="paragraph" w:customStyle="1" w:styleId="6">
    <w:name w:val="Table Paragraph"/>
    <w:basedOn w:val="1"/>
    <w:qFormat/>
    <w:uiPriority w:val="0"/>
    <w:pPr>
      <w:widowControl w:val="0"/>
      <w:autoSpaceDE w:val="0"/>
      <w:autoSpaceDN w:val="0"/>
      <w:spacing w:line="240" w:lineRule="auto"/>
    </w:pPr>
    <w:rPr>
      <w:rFonts w:ascii="Courier New" w:hAnsi="Courier New" w:cs="Courier New"/>
    </w:rPr>
  </w:style>
  <w:style w:type="paragraph" w:customStyle="1" w:styleId="7">
    <w:name w:val="List Paragraph"/>
    <w:basedOn w:val="1"/>
    <w:qFormat/>
    <w:uiPriority w:val="0"/>
    <w:pPr>
      <w:contextualSpacing/>
    </w:pPr>
  </w:style>
  <w:style w:type="table" w:customStyle="1" w:styleId="8">
    <w:name w:val="Table Normal"/>
    <w:basedOn w:val="3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ypks7kbdpwfgdykd3qb9"/>
    <w:basedOn w:val="2"/>
    <w:qFormat/>
    <w:uiPriority w:val="0"/>
  </w:style>
  <w:style w:type="character" w:customStyle="1" w:styleId="10">
    <w:name w:val="y2iqfc"/>
    <w:basedOn w:val="2"/>
    <w:qFormat/>
    <w:uiPriority w:val="0"/>
  </w:style>
  <w:style w:type="character" w:customStyle="1" w:styleId="11">
    <w:name w:val="anegp0gi0b9av8jahpyh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DNA Project</Company>
  <Pages>6</Pages>
  <Words>1507</Words>
  <Characters>10750</Characters>
  <Lines>170</Lines>
  <Paragraphs>47</Paragraphs>
  <TotalTime>2</TotalTime>
  <ScaleCrop>false</ScaleCrop>
  <LinksUpToDate>false</LinksUpToDate>
  <CharactersWithSpaces>12074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2025-12-08T06:17:00Z</dcterms:created>
  <dc:creator>DNA7 X86</dc:creator>
  <cp:lastModifiedBy>User</cp:lastModifiedBy>
  <dcterms:modified xsi:type="dcterms:W3CDTF">2026-08-26T12:47:55Z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A5AC69FDCC3E48198771EAF3D459571B_12</vt:lpwstr>
  </property>
  <property fmtid="{D5CDD505-2E9C-101B-9397-08002B2CF9AE}" pid="4" name="KSOTemplateDocerSaveRecord">
    <vt:lpwstr>eyJoZGlkIjoiNDI0ZjBhMzhlYmU2MjQzMDk4MGE3YzkyMWQ0NTY2MjIifQ==</vt:lpwstr>
  </property>
</Properties>
</file>