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90C14" w14:textId="514E6586" w:rsidR="00367097" w:rsidRDefault="00367097" w:rsidP="00367097">
      <w:pPr>
        <w:spacing w:after="0"/>
        <w:jc w:val="center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>КРАТКОЕ НЕТЕХНИЧЕСКОЕ РЕЗЮМЕ</w:t>
      </w:r>
    </w:p>
    <w:p w14:paraId="38C2BE63" w14:textId="77777777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 xml:space="preserve">ТОО «Строительная компания «ЗАЙСАН» предусматривает реализацию «Плана горных работ на месторождении общераспространенных полезных ископаемых «Сорвенок». Месторождение расположено в Маркакольском районе Восточно-Казахстанской области, в 9 км севернее села Урунхайка, в 13 км западнее села Тоскайын и в 7 км северо-западнее села Сорвенок. </w:t>
      </w:r>
    </w:p>
    <w:p w14:paraId="5F6BA3D9" w14:textId="3F79A52E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>Общая площадь территории составляет 24,78 га.</w:t>
      </w:r>
      <w:r>
        <w:rPr>
          <w:rFonts w:ascii="Times New Roman" w:hAnsi="Times New Roman" w:cs="Times New Roman"/>
        </w:rPr>
        <w:t xml:space="preserve"> </w:t>
      </w:r>
      <w:r w:rsidRPr="00367097">
        <w:rPr>
          <w:rFonts w:ascii="Times New Roman" w:hAnsi="Times New Roman" w:cs="Times New Roman"/>
        </w:rPr>
        <w:t xml:space="preserve">Работы планируется проводить с III квартала 2026 года. </w:t>
      </w:r>
    </w:p>
    <w:p w14:paraId="6F075207" w14:textId="5CA274E7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>Срок освоения месторождения составляет 79 календарных лет со дня выдачи лицензии на добычу, после чего предусматривается один год на проведение ликвидационных работ.</w:t>
      </w:r>
    </w:p>
    <w:p w14:paraId="27F461EF" w14:textId="5F75C9ED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 xml:space="preserve">Исходными данными для проектирования послужили: - Задание на проектирование; - Отчет по оценке минеральных ресурсов и (или) запасов по стандартам KAZRC. Запасы гравийно-песчаной смеси по стандартам KAZRC в объеме 735 тыс.м3, данные были разведаны и утверждены протоколом №163 от 22.12.1986 года г. Усть Каменогорск при ПГО «Востказгеология». Предприятие будет использовать песчано гравийную смесь для строительства, реконструкции и ремонта строительных дорог и тд. Настоящим проектом предусмотрена добыча в объеме 10 тыс.м3 в первый год и по 10 тыс.м3 каждый последующий год, последний год действия лицензии отработка остатков минеральных ресурсов (прогнозный объем 2 тыс. м3) и ликвидация последствий операций по недропользованию. Объём отработки составляет 735 тыс. м³. Срок освоения месторождения — 79 календарных лет со дня выдачи лицензии на добычу, а также последующий 1 год на проведение ликвидационных работ. При этом экологическое разрешение на воздействие будет оформляться на сроком на 10 лет. Технологический процесс освоения месторождения, включающий добычу песчано-гравийной смеси, начинается с обязательного комплекса подготовительных мероприятий, в числе которых первоочередным является снятие почвенно растительного слоя (ПРС) с поверхности мест заложения будущих горных выработок. Общий прогнозный объем снимаемого ПРС составляет 76,8 тыс. м³ при средней мощности слоя 0,5 м, а площадь нарушаемых земель не превысит 153,0 тыс. м². Складирование ПРС осуществляется в виде внешнего отвала высотой 5–7 м, располагаемого с западной стороны месторождения в пределах границ горного отвода. Согласно календарному плану отработки, в 2026 году планируется снятие 500 м³ ПРС, а в последующие периоды (2027–2105 гг.) объем работ по снятию ПРС составит по 38 150 м³ в каждом из указанных временных интервалов. Разработка месторождения ведется с учетом обеспечения промышленной безопасности и необходимой производительности, при этом минимально допустимая ширина рабочей площадки в зоне выемочно погрузочных работ составляет 24 м, а в стесненных условиях при доработке карьера на дне может сокращаться до 15–20 м. Ширина площадки определяется суммарным учетом технологических зон, включая коммуникации, ориентирующий вал, полосы движения и зону маневра автосамосвалов, расчет которой ведется по формуле Р = 1,5 * Rразв + La. Для обеспечения бесперебойной работы карьера принята минимальная протяженность фронта добычных работ 200 м, что гарантирует наличие 7-дневного запаса горной массы, подготовленной к выемке. Технология добычных работ включает вскрышные работы общим объемом 183,7 тыс. м³ (из них 1 000 м³ в 2026 году и по 91 350 м³ в периоды 2027 2066 гг. и 2066–2105 гг.) и добычу полезного ископаемого в общем объеме 789,6 тыс. м³. Весь процесс, от снятия </w:t>
      </w:r>
      <w:r w:rsidRPr="00367097">
        <w:rPr>
          <w:rFonts w:ascii="Times New Roman" w:hAnsi="Times New Roman" w:cs="Times New Roman"/>
        </w:rPr>
        <w:lastRenderedPageBreak/>
        <w:t>ПРС до погрузки горной массы, осуществляется с использованием экскаватора Doosan DX300LC-7. Для обеспечения безопасной эксплуатации техники операторы обязаны соблюдать установленные радиусы поворота и дистанции до бровок уступа, а также контролировать устойчивость бортов в зоне работы. Горная масса окучивается экскаватором, грузится в автосамосвалы и транспортируется к месту складирования на промплощадке или непосредственно к месту поставки. Развитие горных работ осуществляется с постепенным понижением рабочих горизонтов, при этом подготовка нижележащих горизонтов начинается только после завершения проходки вскрывающих траншей и расширения их до проектных размеров рабочих площадок. Настоящим проектом предусмотрена добыча в объеме 10 тыс.м3 в первый год и по 10 тыс.м3 каждый последующий год, последний год действия лицензии отработка остатков минеральных ресурсов (прогнозный объем 2 тыс. м3) и ликвидация последствий операций по недропользованию. Общий объем извлекаемой горной массы за весь период отработки месторождения составляет 1 050,1 тыс. м3., из них 76,8 тыс.м3</w:t>
      </w:r>
    </w:p>
    <w:p w14:paraId="1C5357D1" w14:textId="77777777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>Намечаемая деятельность относится к добыче и переработке общераспространенных полезных ископаемых в объеме свыше 10 тыс. тонн в год, в связи с чем процедура скрининга воздействий является обязательной. В заключении также указано, что с учетом параметров намечаемой деятельности проведение оценки воздействия на окружающую среду является обязательным.</w:t>
      </w:r>
    </w:p>
    <w:p w14:paraId="365FD0E7" w14:textId="32A770E3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>При реализации намечаемой деятельности предусмотрены выбросы в атмосферный воздух в виде неорганической пыли с содержанием диоксида кремния. Расчетный объем выбросов составляет 0,01784 г/с, или 5,5275616 т/год. Сброс сточных вод на поверхностные и подземные воды не предусматривается. Для производственных нужд вода используется для полива автодорог, бытовые стоки предусматривается вывозить за пределы территории карьера на ближайшие очистные сооружения.</w:t>
      </w:r>
      <w:r>
        <w:rPr>
          <w:rFonts w:ascii="Times New Roman" w:hAnsi="Times New Roman" w:cs="Times New Roman"/>
        </w:rPr>
        <w:t xml:space="preserve"> </w:t>
      </w:r>
    </w:p>
    <w:p w14:paraId="50D0F889" w14:textId="77777777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 xml:space="preserve">В период проведения работ: </w:t>
      </w:r>
    </w:p>
    <w:p w14:paraId="51E0D43C" w14:textId="77777777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 xml:space="preserve">1)Смешанные коммунальные отходы (20 03 01) Нормы образования отходов определяется с учетом удельных санитарных норм образования бытовых отходов на промышленных предприятиях 0,375 т/год. Состав отходов (%): бумага и древесина – 60; тряпье - 7; пищевые отходы -10; стеклобой - 6; металлы - 5; пластмассы - 12. Отходы накапливаются в контейнерах; по мере накопления вывозятся с территории по договору со сторонними организациями на полигон. Срок хранения отходов в контейнерах при температуре 0ºС и ниже допускается не более трех суток, при плюсовой температуре не более суток. Все виды отходов размещаются на территории строительной площадке временно, на срок не более 6 месяцев. Хранение отходов организовано с соблюдением несмешивания разных видов отходов. Все отходы передаются сторонним организациям. </w:t>
      </w:r>
    </w:p>
    <w:p w14:paraId="2E50C1C9" w14:textId="6B26FDBB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 xml:space="preserve">2) Металлический лом образуется в процессе ремонта автотранспорта. Временное хранение отходов производится в металлических емкостях (контейнерах). Сбор и временное хранение отходов будет производиться на специальных отведенных местах (металлический контейнер), соответствующих классу опасности отходов, с последующим вывозом на спец. предприятие по договору. Согласно приложения 1 Классификатора отходов № 314 от 06.08.2021 г.– не опасные. Код отхода– 16 01 17. Предполагаемый объем образования 0,379 т/год. </w:t>
      </w:r>
    </w:p>
    <w:p w14:paraId="255BA79C" w14:textId="77777777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 xml:space="preserve">3)Промасленная ветошь образуется в процессе использования тряпья для протирки строительной техники, машин и т.д. Состав: тряпье- 73%, масло- 12%, влага- 15%. </w:t>
      </w:r>
      <w:r w:rsidRPr="00367097">
        <w:rPr>
          <w:rFonts w:ascii="Times New Roman" w:hAnsi="Times New Roman" w:cs="Times New Roman"/>
        </w:rPr>
        <w:lastRenderedPageBreak/>
        <w:t xml:space="preserve">Пожароопасный, нерастворим в воде, химически неактивен. Собираются отходы в специальные металлические контейнеры, хранятся на территории площадки не более 6 месяцев. Сбор и вывоз будет осуществляться согласно заключенному договору по факту образования отхода. Сбор и временное хранение отходов будет производиться на специальных отведенных местах (металлический контейнер), соответствующих классу опасности отходов, с последующим вывозом на спец. предприятие по договору. Согласно приложения 1 Классификатора отходов № 314 от 06.08.2021 г.– не опасные. Код отхода– 16 07 08 *. Предполагаемый объем образования 0,379 т/год. </w:t>
      </w:r>
    </w:p>
    <w:p w14:paraId="7FB81853" w14:textId="393AF1D1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>4) Вскрышные работы на месторождении проводятся в период действия лицензии на недропользование, начиная с III квартала 2026 года. Общий объем вскрышных работ за весь период отработки месторождения составляет 183,7 тыс. м³. В 2026 году объем вскрышных работ составляет 1 000 м³. В последующие периоды (2027–2066 гг. и 2066–2105 гг.) объем вскрышных</w:t>
      </w:r>
      <w:r>
        <w:rPr>
          <w:rFonts w:ascii="Times New Roman" w:hAnsi="Times New Roman" w:cs="Times New Roman"/>
        </w:rPr>
        <w:t xml:space="preserve"> </w:t>
      </w:r>
      <w:r w:rsidRPr="00367097">
        <w:rPr>
          <w:rFonts w:ascii="Times New Roman" w:hAnsi="Times New Roman" w:cs="Times New Roman"/>
        </w:rPr>
        <w:t xml:space="preserve">работ распределяется равномерно и составляет 2 283,75 м³ в год (или 91 350 м³ на каждый из периодов). Код отхода– 010409. Суммарный объем вскрышных работ за период с 2026 по 2035 год составит 21 553,75 м³. </w:t>
      </w:r>
    </w:p>
    <w:p w14:paraId="742C5B49" w14:textId="77777777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 xml:space="preserve">Общий объем образования отходов характеризуется ежегодным образованием с 2026 по 2035 (ежегодно) составит 1,133 тонны, а также образованием вскрышных пород в объеме 21 553,75 м³ за период 2026–2035 гг. </w:t>
      </w:r>
    </w:p>
    <w:p w14:paraId="6B8099CD" w14:textId="3F9938FF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 xml:space="preserve">Предусматривается: питьевое водоснабжение, водоснабжение для пылеподавления и технических нужд. Водоснабжение проектируемого участка привозное бутилированная. </w:t>
      </w:r>
    </w:p>
    <w:p w14:paraId="5A71DA0E" w14:textId="77777777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>Хозяйственно-питьевое водоснабжение. Привозимая питьевая вода - бутилированная, из торговой сети ближайшего населенного пункта с. Урунхайка, с.Сорвенок. Водоснабжение участка работ для технических целей предусматривается по Договору со специализированной водоснабжающей организацией района из их источников периодическими заборами с помощью вакуумных цистерн поливомоечных машин поставщика услуги. В процессе добычи горной массы не предполагается использование технической воды, кроме как на пылеподавление при выемке, погрузке, пылеподавление на дороге, по которой будет транспортироваться горная масса к месту хранения. Пылеподавление при экскавации, транспортировке горной массы, бульдозерных работах (в теплое время года) предусматривается орошением мест экскавации, погрузки- разгрузки самосвалов. Для предотвращения сдувания пыли с поверхности отвала ПРС и пылеподавления на дорогах предусматривается орошение с помощью поливомоечной машины. При двукратном поливе в день (утром и вечером) суточный расход воды составит: 15 600 м2 * 0,3 л/м2 *2 = 9 360 литров (или 9,36 м3)в сутки. Расчет за теплый период Принимая теплый период за 60 дней, общий расход воды составит: 9,36 м³/ сутки × 60 дней = 561,6 м.</w:t>
      </w:r>
    </w:p>
    <w:p w14:paraId="706DE949" w14:textId="5CC73209" w:rsidR="00367097" w:rsidRDefault="00367097" w:rsidP="003670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7097">
        <w:rPr>
          <w:rFonts w:ascii="Times New Roman" w:hAnsi="Times New Roman" w:cs="Times New Roman"/>
        </w:rPr>
        <w:t xml:space="preserve"> Согласно пп. 7.11, п. 7, раздела 2 Приложения 2 ЭК РК добыча и переработка общераспространенных полезных ископаемых свыше 10 тыс. тонн в год относится к объектам II категории.</w:t>
      </w:r>
    </w:p>
    <w:p w14:paraId="677E7517" w14:textId="77777777" w:rsidR="00367097" w:rsidRPr="00367097" w:rsidRDefault="00367097" w:rsidP="00367097">
      <w:pPr>
        <w:spacing w:after="0"/>
        <w:jc w:val="both"/>
        <w:rPr>
          <w:rFonts w:ascii="Times New Roman" w:hAnsi="Times New Roman" w:cs="Times New Roman"/>
        </w:rPr>
      </w:pPr>
    </w:p>
    <w:sectPr w:rsidR="00367097" w:rsidRPr="0036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97"/>
    <w:rsid w:val="00367097"/>
    <w:rsid w:val="00F7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07BC"/>
  <w15:chartTrackingRefBased/>
  <w15:docId w15:val="{EF8CC6A9-824A-4EA3-BEDB-1140D30D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7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0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0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0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7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70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70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70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70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70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70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70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7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7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0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70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0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0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0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70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1451</Words>
  <Characters>8272</Characters>
  <Application>Microsoft Office Word</Application>
  <DocSecurity>0</DocSecurity>
  <Lines>68</Lines>
  <Paragraphs>19</Paragraphs>
  <ScaleCrop>false</ScaleCrop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 Сеиткожина</dc:creator>
  <cp:keywords/>
  <dc:description/>
  <cp:lastModifiedBy>Дамира Сеиткожина</cp:lastModifiedBy>
  <cp:revision>1</cp:revision>
  <dcterms:created xsi:type="dcterms:W3CDTF">2026-08-27T09:02:00Z</dcterms:created>
  <dcterms:modified xsi:type="dcterms:W3CDTF">2026-08-27T09:06:00Z</dcterms:modified>
</cp:coreProperties>
</file>