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187" w:rsidRPr="006A4C9E" w:rsidRDefault="002678D8" w:rsidP="006A4C9E">
      <w:pPr>
        <w:spacing w:after="0"/>
        <w:jc w:val="center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  <w:b/>
          <w:sz w:val="32"/>
        </w:rPr>
        <w:t>КРАТКОЕ НЕТЕХНИЧЕСКОЕ РЕЗЮМЕ</w:t>
      </w:r>
    </w:p>
    <w:p w:rsidR="00E21187" w:rsidRPr="006A4C9E" w:rsidRDefault="002678D8" w:rsidP="006A4C9E">
      <w:pPr>
        <w:spacing w:after="0"/>
        <w:jc w:val="center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  <w:b/>
          <w:sz w:val="26"/>
        </w:rPr>
        <w:t>к Отчету о возможных воздействиях</w:t>
      </w:r>
    </w:p>
    <w:p w:rsidR="00E21187" w:rsidRPr="006A4C9E" w:rsidRDefault="002678D8" w:rsidP="006A4C9E">
      <w:pPr>
        <w:spacing w:after="0"/>
        <w:jc w:val="center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  <w:b/>
          <w:sz w:val="28"/>
        </w:rPr>
        <w:t>«Строительство одноцепной линии 110 кВ от «Рудничные ГЭС-1» до ПС №143 «Жаркент-2». Расширение ОРУ 110 кВ»</w:t>
      </w:r>
    </w:p>
    <w:p w:rsidR="00E21187" w:rsidRPr="006A4C9E" w:rsidRDefault="002678D8" w:rsidP="006A4C9E">
      <w:pPr>
        <w:spacing w:after="0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Инициатор (заказчик): ТОО «ЭнергоБилдСервис»</w:t>
      </w:r>
    </w:p>
    <w:p w:rsidR="006A4C9E" w:rsidRDefault="006A4C9E" w:rsidP="006A4C9E">
      <w:pPr>
        <w:spacing w:after="0"/>
        <w:jc w:val="both"/>
        <w:rPr>
          <w:rFonts w:asciiTheme="majorBidi" w:hAnsiTheme="majorBidi" w:cstheme="majorBidi"/>
        </w:rPr>
      </w:pPr>
    </w:p>
    <w:p w:rsidR="00E21187" w:rsidRPr="006A4C9E" w:rsidRDefault="002678D8" w:rsidP="006A4C9E">
      <w:pPr>
        <w:spacing w:after="0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 xml:space="preserve">Настоящее краткое </w:t>
      </w:r>
      <w:r w:rsidRPr="006A4C9E">
        <w:rPr>
          <w:rFonts w:asciiTheme="majorBidi" w:hAnsiTheme="majorBidi" w:cstheme="majorBidi"/>
        </w:rPr>
        <w:t>нетехническое резюме подготовлено в целях информирования заинтересованной общественности и обобщает сведения Отчета о возможных воздействиях по намечаемой деятельности. Структура резюме принята в соответствии с пунктами 19-22 приложения 2 к Инструкции по о</w:t>
      </w:r>
      <w:r w:rsidRPr="006A4C9E">
        <w:rPr>
          <w:rFonts w:asciiTheme="majorBidi" w:hAnsiTheme="majorBidi" w:cstheme="majorBidi"/>
        </w:rPr>
        <w:t>рганизации и проведению экологической оценки, утвержденной приказом Министра экологии, геологии и природных ресурсов Республики Казахстан от 30 июля 2021 года № 280. Информация изложена в форме, понятной без применения специальных знаний.</w:t>
      </w:r>
    </w:p>
    <w:p w:rsidR="00E21187" w:rsidRPr="006A4C9E" w:rsidRDefault="002678D8" w:rsidP="006A4C9E">
      <w:pPr>
        <w:pStyle w:val="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1. Место осуществ</w:t>
      </w:r>
      <w:r w:rsidRPr="006A4C9E">
        <w:rPr>
          <w:rFonts w:asciiTheme="majorBidi" w:hAnsiTheme="majorBidi"/>
        </w:rPr>
        <w:t>ления намечаемой деятельности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Проект предусматривает строительство одноцепной воздушной линии электропередачи напряжением 110 кВ от «Рудничные ГЭС-1» до ПС №143 «Жаркент-2» и расширение открытого распределительного устройства 110 кВ ПС №143 «Жаркент-2». Тр</w:t>
      </w:r>
      <w:r w:rsidRPr="006A4C9E">
        <w:rPr>
          <w:rFonts w:asciiTheme="majorBidi" w:hAnsiTheme="majorBidi" w:cstheme="majorBidi"/>
        </w:rPr>
        <w:t>асса ВЛ расположена в Кербулакском и Панфиловском районах области Жетысу. Общая протяженность трассы составляет 123 км. Линия проходит по предгорной и горной местности, пересекает существующие линии электропередачи, автомобильные дороги и горные реки.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Площ</w:t>
      </w:r>
      <w:r w:rsidRPr="006A4C9E">
        <w:rPr>
          <w:rFonts w:asciiTheme="majorBidi" w:hAnsiTheme="majorBidi" w:cstheme="majorBidi"/>
        </w:rPr>
        <w:t>адка расширяемой ПС №143 «Жаркент-2» расположена в Панфиловском районе области Жетысу, примерно в 3,6 км западнее города Жаркент, в пределах первой надпойменной террасы реки Усек. Расширение ОРУ выполняется в пределах существующего ограждения подстанции.</w:t>
      </w:r>
    </w:p>
    <w:p w:rsidR="006A4C9E" w:rsidRPr="006A4C9E" w:rsidRDefault="006A4C9E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В административном положении проектируемые объекты находятся в Кербулакском районе и Панфиловском районе, Жетысуской области.</w:t>
      </w:r>
    </w:p>
    <w:p w:rsidR="00E21187" w:rsidRDefault="006A4C9E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Протяженность ВЛ-123км.</w:t>
      </w:r>
    </w:p>
    <w:p w:rsidR="006A4C9E" w:rsidRDefault="006A4C9E" w:rsidP="006A4C9E">
      <w:pPr>
        <w:spacing w:after="0"/>
        <w:ind w:firstLine="709"/>
        <w:jc w:val="both"/>
        <w:rPr>
          <w:rFonts w:asciiTheme="majorBidi" w:hAnsiTheme="majorBidi" w:cstheme="majorBidi"/>
        </w:rPr>
      </w:pPr>
    </w:p>
    <w:p w:rsidR="006A4C9E" w:rsidRDefault="006A4C9E" w:rsidP="006A4C9E">
      <w:pPr>
        <w:spacing w:after="0"/>
        <w:ind w:firstLine="709"/>
        <w:jc w:val="both"/>
        <w:rPr>
          <w:rFonts w:asciiTheme="majorBidi" w:hAnsiTheme="majorBidi" w:cstheme="majorBidi"/>
        </w:rPr>
      </w:pPr>
    </w:p>
    <w:p w:rsidR="006A4C9E" w:rsidRDefault="006A4C9E" w:rsidP="006A4C9E">
      <w:pPr>
        <w:spacing w:after="0"/>
        <w:ind w:firstLine="709"/>
        <w:jc w:val="both"/>
        <w:rPr>
          <w:rFonts w:asciiTheme="majorBidi" w:hAnsiTheme="majorBidi" w:cstheme="majorBidi"/>
        </w:rPr>
      </w:pPr>
    </w:p>
    <w:p w:rsidR="006A4C9E" w:rsidRDefault="006A4C9E" w:rsidP="006A4C9E">
      <w:pPr>
        <w:spacing w:after="0"/>
        <w:ind w:firstLine="709"/>
        <w:jc w:val="both"/>
        <w:rPr>
          <w:rFonts w:asciiTheme="majorBidi" w:hAnsiTheme="majorBidi" w:cstheme="majorBidi"/>
        </w:rPr>
      </w:pPr>
    </w:p>
    <w:p w:rsidR="006A4C9E" w:rsidRDefault="006A4C9E" w:rsidP="006A4C9E">
      <w:pPr>
        <w:spacing w:after="0"/>
        <w:ind w:firstLine="709"/>
        <w:jc w:val="both"/>
        <w:rPr>
          <w:rFonts w:asciiTheme="majorBidi" w:hAnsiTheme="majorBidi" w:cstheme="majorBidi"/>
        </w:rPr>
      </w:pPr>
    </w:p>
    <w:p w:rsidR="006A4C9E" w:rsidRDefault="006A4C9E" w:rsidP="006A4C9E">
      <w:pPr>
        <w:spacing w:after="0"/>
        <w:ind w:firstLine="709"/>
        <w:jc w:val="both"/>
        <w:rPr>
          <w:rFonts w:asciiTheme="majorBidi" w:hAnsiTheme="majorBidi" w:cstheme="majorBidi"/>
        </w:rPr>
      </w:pPr>
    </w:p>
    <w:p w:rsidR="006A4C9E" w:rsidRDefault="006A4C9E" w:rsidP="006A4C9E">
      <w:pPr>
        <w:spacing w:after="0"/>
        <w:ind w:firstLine="709"/>
        <w:jc w:val="both"/>
        <w:rPr>
          <w:rFonts w:asciiTheme="majorBidi" w:hAnsiTheme="majorBidi" w:cstheme="majorBidi"/>
        </w:rPr>
      </w:pPr>
    </w:p>
    <w:p w:rsidR="006A4C9E" w:rsidRDefault="006A4C9E" w:rsidP="006A4C9E">
      <w:pPr>
        <w:spacing w:after="0"/>
        <w:ind w:firstLine="709"/>
        <w:jc w:val="both"/>
        <w:rPr>
          <w:rFonts w:asciiTheme="majorBidi" w:hAnsiTheme="majorBidi" w:cstheme="majorBidi"/>
        </w:rPr>
      </w:pPr>
    </w:p>
    <w:p w:rsidR="006A4C9E" w:rsidRDefault="006A4C9E" w:rsidP="006A4C9E">
      <w:pPr>
        <w:spacing w:after="0"/>
        <w:ind w:firstLine="709"/>
        <w:jc w:val="both"/>
        <w:rPr>
          <w:rFonts w:asciiTheme="majorBidi" w:hAnsiTheme="majorBidi" w:cstheme="majorBidi"/>
        </w:rPr>
      </w:pPr>
    </w:p>
    <w:p w:rsidR="006A4C9E" w:rsidRDefault="006A4C9E" w:rsidP="006A4C9E">
      <w:pPr>
        <w:spacing w:after="0"/>
        <w:ind w:firstLine="709"/>
        <w:jc w:val="both"/>
        <w:rPr>
          <w:rFonts w:asciiTheme="majorBidi" w:hAnsiTheme="majorBidi" w:cstheme="majorBidi"/>
        </w:rPr>
      </w:pPr>
    </w:p>
    <w:p w:rsidR="006A4C9E" w:rsidRDefault="006A4C9E" w:rsidP="006A4C9E">
      <w:pPr>
        <w:spacing w:after="0"/>
        <w:ind w:firstLine="709"/>
        <w:jc w:val="both"/>
        <w:rPr>
          <w:rFonts w:asciiTheme="majorBidi" w:hAnsiTheme="majorBidi" w:cstheme="majorBidi"/>
        </w:rPr>
      </w:pPr>
    </w:p>
    <w:p w:rsidR="006A4C9E" w:rsidRDefault="006A4C9E" w:rsidP="006A4C9E">
      <w:pPr>
        <w:spacing w:after="0"/>
        <w:ind w:firstLine="709"/>
        <w:jc w:val="both"/>
        <w:rPr>
          <w:rFonts w:asciiTheme="majorBidi" w:hAnsiTheme="majorBidi" w:cstheme="majorBidi"/>
        </w:rPr>
      </w:pPr>
    </w:p>
    <w:p w:rsidR="006A4C9E" w:rsidRDefault="006A4C9E" w:rsidP="006A4C9E">
      <w:pPr>
        <w:spacing w:after="0"/>
        <w:ind w:firstLine="709"/>
        <w:jc w:val="both"/>
        <w:rPr>
          <w:rFonts w:asciiTheme="majorBidi" w:hAnsiTheme="majorBidi" w:cstheme="majorBidi"/>
        </w:rPr>
      </w:pPr>
    </w:p>
    <w:p w:rsidR="006A4C9E" w:rsidRDefault="006A4C9E" w:rsidP="006A4C9E">
      <w:pPr>
        <w:spacing w:after="0"/>
        <w:ind w:firstLine="709"/>
        <w:jc w:val="both"/>
        <w:rPr>
          <w:rFonts w:asciiTheme="majorBidi" w:hAnsiTheme="majorBidi" w:cstheme="majorBidi"/>
        </w:rPr>
      </w:pPr>
    </w:p>
    <w:p w:rsidR="006A4C9E" w:rsidRDefault="006A4C9E" w:rsidP="006A4C9E">
      <w:pPr>
        <w:spacing w:after="0"/>
        <w:ind w:firstLine="709"/>
        <w:jc w:val="both"/>
        <w:rPr>
          <w:rFonts w:asciiTheme="majorBidi" w:hAnsiTheme="majorBidi" w:cstheme="majorBidi"/>
        </w:rPr>
      </w:pPr>
    </w:p>
    <w:p w:rsidR="00E21187" w:rsidRPr="006A4C9E" w:rsidRDefault="002678D8" w:rsidP="006A4C9E">
      <w:pPr>
        <w:spacing w:after="0"/>
        <w:jc w:val="center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  <w:b/>
          <w:sz w:val="22"/>
        </w:rPr>
        <w:t>План расположения проектируемой ВЛ 110 кВ</w:t>
      </w:r>
    </w:p>
    <w:p w:rsidR="00E21187" w:rsidRPr="006A4C9E" w:rsidRDefault="002678D8" w:rsidP="006A4C9E">
      <w:pPr>
        <w:spacing w:after="0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  <w:noProof/>
          <w:lang w:val="ru-RU" w:eastAsia="ru-RU"/>
        </w:rPr>
        <w:drawing>
          <wp:inline distT="0" distB="0" distL="0" distR="0">
            <wp:extent cx="5760000" cy="35597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0_img0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55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187" w:rsidRPr="006A4C9E" w:rsidRDefault="002678D8" w:rsidP="006A4C9E">
      <w:pPr>
        <w:spacing w:after="0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  <w:i/>
        </w:rPr>
        <w:t>Рисунок 1 - Ситуационная карта-схема расположения объек</w:t>
      </w:r>
      <w:r w:rsidRPr="006A4C9E">
        <w:rPr>
          <w:rFonts w:asciiTheme="majorBidi" w:hAnsiTheme="majorBidi" w:cstheme="majorBidi"/>
          <w:i/>
        </w:rPr>
        <w:t>та (по материалам Отчета о возможных воздействиях)</w:t>
      </w:r>
    </w:p>
    <w:p w:rsidR="00E21187" w:rsidRPr="006A4C9E" w:rsidRDefault="002678D8" w:rsidP="006A4C9E">
      <w:pPr>
        <w:pStyle w:val="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2. Затрагиваемая территория и область возможного воздействия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Затрагиваемая территория включает полосу прохождения ВЛ 110 кВ и площадку существующей ПС №143 «Жаркент-2». В непосредственной близости от район</w:t>
      </w:r>
      <w:r w:rsidRPr="006A4C9E">
        <w:rPr>
          <w:rFonts w:asciiTheme="majorBidi" w:hAnsiTheme="majorBidi" w:cstheme="majorBidi"/>
        </w:rPr>
        <w:t>а работ, согласно исходному отчету, отсутствуют особо охраняемые природные территории, курортные зоны, охраняемые историко-культурные и археологические объекты. Проектируемые объекты пересекают горные реки Коктал и Усек.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Основное воздействие ожидается в пе</w:t>
      </w:r>
      <w:r w:rsidRPr="006A4C9E">
        <w:rPr>
          <w:rFonts w:asciiTheme="majorBidi" w:hAnsiTheme="majorBidi" w:cstheme="majorBidi"/>
        </w:rPr>
        <w:t>риод строительства и имеет локальный характер. Участками возможного проявления выбросов, шума, вибрации, нарушения почвенно-растительного покрова и образования отходов являются непосредственно строительные площадки, полоса отвода и места проведения монтажн</w:t>
      </w:r>
      <w:r w:rsidRPr="006A4C9E">
        <w:rPr>
          <w:rFonts w:asciiTheme="majorBidi" w:hAnsiTheme="majorBidi" w:cstheme="majorBidi"/>
        </w:rPr>
        <w:t>ых работ. На этапе эксплуатации выбросы загрязняющих веществ и образование отходов проектом не предусматриваются; водопотребление и водоотведение отсутствуют.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Захоронение отходов на территории объекта не предусматривается. Отходы подлежат временному накопл</w:t>
      </w:r>
      <w:r w:rsidRPr="006A4C9E">
        <w:rPr>
          <w:rFonts w:asciiTheme="majorBidi" w:hAnsiTheme="majorBidi" w:cstheme="majorBidi"/>
        </w:rPr>
        <w:t>ению в специально отведенных местах с последующей передачей специализированным организациям. Извлечение природных ресурсов из поверхностных и подземных водных объектов не предусматривается.</w:t>
      </w:r>
    </w:p>
    <w:p w:rsidR="00E21187" w:rsidRPr="006A4C9E" w:rsidRDefault="002678D8" w:rsidP="006A4C9E">
      <w:pPr>
        <w:pStyle w:val="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3. Инициатор намечаемой деятельности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 xml:space="preserve">Инициатор (заказчик) </w:t>
      </w:r>
      <w:r w:rsidRPr="006A4C9E">
        <w:rPr>
          <w:rFonts w:asciiTheme="majorBidi" w:hAnsiTheme="majorBidi" w:cstheme="majorBidi"/>
        </w:rPr>
        <w:t>намечаемой деятельности - ТОО «ЭнергоБилдСервис». Разработчик Отчета о возможных воздействиях - ТОО «НПК Экоресурс», государственная лицензия № 01464Р от 23 апреля 2012 года.</w:t>
      </w:r>
    </w:p>
    <w:p w:rsidR="00E21187" w:rsidRPr="006A4C9E" w:rsidRDefault="002678D8" w:rsidP="006A4C9E">
      <w:pPr>
        <w:pStyle w:val="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lastRenderedPageBreak/>
        <w:t>4. Краткое описание намечаемой деятельности</w:t>
      </w:r>
    </w:p>
    <w:p w:rsidR="00E21187" w:rsidRPr="006A4C9E" w:rsidRDefault="002678D8" w:rsidP="006A4C9E">
      <w:pPr>
        <w:pStyle w:val="2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4.1. Основные проектные решения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 xml:space="preserve">Намечаемая деятельность относится к строительству и последующей эксплуатации электросетевого </w:t>
      </w:r>
      <w:r w:rsidRPr="006A4C9E">
        <w:rPr>
          <w:rFonts w:asciiTheme="majorBidi" w:hAnsiTheme="majorBidi" w:cstheme="majorBidi"/>
        </w:rPr>
        <w:t>объекта. На ВЛ предусматривается применение неизолированного алюминиевого провода со стальным сердечником, грозозащитного троса со встроенным оптическим кабелем, металлических анкерно-угловых и железобетонных промежуточных опор. Защита линии от прямых удар</w:t>
      </w:r>
      <w:r w:rsidRPr="006A4C9E">
        <w:rPr>
          <w:rFonts w:asciiTheme="majorBidi" w:hAnsiTheme="majorBidi" w:cstheme="majorBidi"/>
        </w:rPr>
        <w:t>ов молнии обеспечивается грозозащитным тросом и заземлением опор.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На ПС №143 «Жаркент-2» предусматривается расширение существующего ОРУ 110 кВ на одну линейную ячейку. Работы выполняются в пределах существующей ограды подстанции. Новое оборудование подключ</w:t>
      </w:r>
      <w:r w:rsidRPr="006A4C9E">
        <w:rPr>
          <w:rFonts w:asciiTheme="majorBidi" w:hAnsiTheme="majorBidi" w:cstheme="majorBidi"/>
        </w:rPr>
        <w:t>ается к существующим системам собственных нужд, молниезащиты и заземления.</w:t>
      </w:r>
    </w:p>
    <w:p w:rsidR="00E21187" w:rsidRPr="006A4C9E" w:rsidRDefault="002678D8" w:rsidP="006A4C9E">
      <w:pPr>
        <w:pStyle w:val="2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4.2. Ресурсы и материалы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На период строительства используются строительные материалы, металлоконструкции, провода, изоляторы, лакокрасочные и сварочные материалы, а также топливо дл</w:t>
      </w:r>
      <w:r w:rsidRPr="006A4C9E">
        <w:rPr>
          <w:rFonts w:asciiTheme="majorBidi" w:hAnsiTheme="majorBidi" w:cstheme="majorBidi"/>
        </w:rPr>
        <w:t>я строительной техники. Для питьевых, хозяйственно-бытовых и технологических нужд используется привозная вода. Расход питьевой воды составляет 165 м³ за период строительства, технической воды - 807 м³ за период. Объем хозяйственно-бытовых сточных вод - 165</w:t>
      </w:r>
      <w:r w:rsidRPr="006A4C9E">
        <w:rPr>
          <w:rFonts w:asciiTheme="majorBidi" w:hAnsiTheme="majorBidi" w:cstheme="majorBidi"/>
        </w:rPr>
        <w:t xml:space="preserve"> м³ за период. На этапе эксплуатации постоянное водопотребление и водоотведение не требуются.</w:t>
      </w:r>
    </w:p>
    <w:p w:rsidR="00E21187" w:rsidRPr="006A4C9E" w:rsidRDefault="002678D8" w:rsidP="006A4C9E">
      <w:pPr>
        <w:pStyle w:val="2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4.3. Варианты осуществления деятельности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Размещение объекта обусловлено расположением существующих и проектируемых электросетевых объектов. В исходном отчете указ</w:t>
      </w:r>
      <w:r w:rsidRPr="006A4C9E">
        <w:rPr>
          <w:rFonts w:asciiTheme="majorBidi" w:hAnsiTheme="majorBidi" w:cstheme="majorBidi"/>
        </w:rPr>
        <w:t>ано, что возможность выбора иных мест размещения отсутствует. Рассмотрен также «нулевой вариант» - отказ от реализации проекта. При нулевом варианте воздействие, связанное со строительством, отсутствует. Выбран вариант реализации проекта, поскольку при пре</w:t>
      </w:r>
      <w:r w:rsidRPr="006A4C9E">
        <w:rPr>
          <w:rFonts w:asciiTheme="majorBidi" w:hAnsiTheme="majorBidi" w:cstheme="majorBidi"/>
        </w:rPr>
        <w:t>дусмотренных природоохранных мероприятиях воздействие оценивается как допустимое и не приводит к существенному ухудшению состояния окружающей среды.</w:t>
      </w:r>
    </w:p>
    <w:p w:rsidR="00E21187" w:rsidRPr="006A4C9E" w:rsidRDefault="002678D8" w:rsidP="006A4C9E">
      <w:pPr>
        <w:pStyle w:val="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5. Основные воздействия на окружающую среду</w:t>
      </w:r>
    </w:p>
    <w:p w:rsidR="00E21187" w:rsidRPr="006A4C9E" w:rsidRDefault="002678D8" w:rsidP="006A4C9E">
      <w:pPr>
        <w:pStyle w:val="2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5.1. Атмосферный воздух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 xml:space="preserve">Выбросы загрязняющих веществ ожидаются </w:t>
      </w:r>
      <w:r w:rsidRPr="006A4C9E">
        <w:rPr>
          <w:rFonts w:asciiTheme="majorBidi" w:hAnsiTheme="majorBidi" w:cstheme="majorBidi"/>
        </w:rPr>
        <w:t>только в период строительства. Источниками являются земляные работы, пересыпка сыпучих материалов, сварочные и лакокрасочные работы, бурение и работа электроинструмента. В сводной таблице исходного отчета общий выброс составляет 4,51797 т за период строите</w:t>
      </w:r>
      <w:r w:rsidRPr="006A4C9E">
        <w:rPr>
          <w:rFonts w:asciiTheme="majorBidi" w:hAnsiTheme="majorBidi" w:cstheme="majorBidi"/>
        </w:rPr>
        <w:t>льства. Основной вклад вносят неорганическая пыль и вещества, выделяющиеся при лакокрасочных работах. На этапе эксплуатации стационарные источники выбросов отсутствуют.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Воздействие на атмосферный воздух оценено как локальное, слабое по интенсивности и низк</w:t>
      </w:r>
      <w:r w:rsidRPr="006A4C9E">
        <w:rPr>
          <w:rFonts w:asciiTheme="majorBidi" w:hAnsiTheme="majorBidi" w:cstheme="majorBidi"/>
        </w:rPr>
        <w:t>ой значимости. Воздействие на ближайшую жилую зону оценивается как незначительное.</w:t>
      </w:r>
    </w:p>
    <w:p w:rsidR="00E21187" w:rsidRPr="006A4C9E" w:rsidRDefault="002678D8" w:rsidP="006A4C9E">
      <w:pPr>
        <w:pStyle w:val="2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5.2. Водные ресурсы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  <w:lang w:val="ru-RU"/>
        </w:rPr>
      </w:pPr>
      <w:r w:rsidRPr="006A4C9E">
        <w:rPr>
          <w:rFonts w:asciiTheme="majorBidi" w:hAnsiTheme="majorBidi" w:cstheme="majorBidi"/>
        </w:rPr>
        <w:t xml:space="preserve">Проектируемая ВЛ пересекает горные реки Коктал и Усек. Забор воды из поверхностных и подземных водных объектов не предусматривается. Сброс сточных вод в </w:t>
      </w:r>
      <w:r w:rsidRPr="006A4C9E">
        <w:rPr>
          <w:rFonts w:asciiTheme="majorBidi" w:hAnsiTheme="majorBidi" w:cstheme="majorBidi"/>
        </w:rPr>
        <w:t xml:space="preserve">водные объекты отсутствует. При соблюдении водоохранных мероприятий отрицательное воздействие на </w:t>
      </w:r>
      <w:r w:rsidRPr="006A4C9E">
        <w:rPr>
          <w:rFonts w:asciiTheme="majorBidi" w:hAnsiTheme="majorBidi" w:cstheme="majorBidi"/>
        </w:rPr>
        <w:lastRenderedPageBreak/>
        <w:t>поверхностные и подземные воды не ожидается. Специальное водопользование не требуется.</w:t>
      </w:r>
      <w:r w:rsidR="006A4C9E">
        <w:rPr>
          <w:rFonts w:asciiTheme="majorBidi" w:hAnsiTheme="majorBidi" w:cstheme="majorBidi"/>
          <w:lang w:val="ru-RU"/>
        </w:rPr>
        <w:t xml:space="preserve"> Получено согласование бассейновой инспекции</w:t>
      </w:r>
      <w:bookmarkStart w:id="0" w:name="_GoBack"/>
      <w:bookmarkEnd w:id="0"/>
    </w:p>
    <w:p w:rsidR="00E21187" w:rsidRPr="006A4C9E" w:rsidRDefault="002678D8" w:rsidP="006A4C9E">
      <w:pPr>
        <w:pStyle w:val="2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5.3. Земли и почвы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 xml:space="preserve">В период строительства возможно локальное </w:t>
      </w:r>
      <w:r w:rsidRPr="006A4C9E">
        <w:rPr>
          <w:rFonts w:asciiTheme="majorBidi" w:hAnsiTheme="majorBidi" w:cstheme="majorBidi"/>
        </w:rPr>
        <w:t>механическое нарушение почв и растительного покрова при движении техники, устройстве подъездов и выполнении земляных работ. Основным риском загрязнения почв являются возможные утечки горюче-смазочных материалов. Проектом предусматривается технический контр</w:t>
      </w:r>
      <w:r w:rsidRPr="006A4C9E">
        <w:rPr>
          <w:rFonts w:asciiTheme="majorBidi" w:hAnsiTheme="majorBidi" w:cstheme="majorBidi"/>
        </w:rPr>
        <w:t>оль строительной техники и ограничение движения пределами отведенных территорий. Воздействие на земельные ресурсы оценивается как незначительное.</w:t>
      </w:r>
    </w:p>
    <w:p w:rsidR="00E21187" w:rsidRPr="006A4C9E" w:rsidRDefault="002678D8" w:rsidP="006A4C9E">
      <w:pPr>
        <w:pStyle w:val="2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5.4. Биоразнообразие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По материалам исходного отчета на прилегающей территории отсутствуют особо охраняемые при</w:t>
      </w:r>
      <w:r w:rsidRPr="006A4C9E">
        <w:rPr>
          <w:rFonts w:asciiTheme="majorBidi" w:hAnsiTheme="majorBidi" w:cstheme="majorBidi"/>
        </w:rPr>
        <w:t>родные территории; виды растений и животных, занесенные в Красную книгу, на участке не отмечены. Воздействие на растительность связано преимущественно с механическим нарушением небольших участков при строительстве. Для снижения воздействия движение техники</w:t>
      </w:r>
      <w:r w:rsidRPr="006A4C9E">
        <w:rPr>
          <w:rFonts w:asciiTheme="majorBidi" w:hAnsiTheme="majorBidi" w:cstheme="majorBidi"/>
        </w:rPr>
        <w:t xml:space="preserve"> ограничивается отведенными территориями, а перемещение по полосе отвода сводится к минимуму.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Для снижения воздействия на птиц предусматривается установка птицезащитных устройств. После завершения строительных работ и восстановления нарушенных участков ожи</w:t>
      </w:r>
      <w:r w:rsidRPr="006A4C9E">
        <w:rPr>
          <w:rFonts w:asciiTheme="majorBidi" w:hAnsiTheme="majorBidi" w:cstheme="majorBidi"/>
        </w:rPr>
        <w:t>дается восстановление условий обитания. Воздействие на животный мир оценено как низкой значимости.</w:t>
      </w:r>
    </w:p>
    <w:p w:rsidR="00E21187" w:rsidRPr="006A4C9E" w:rsidRDefault="002678D8" w:rsidP="006A4C9E">
      <w:pPr>
        <w:pStyle w:val="2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5.5. Шум, вибрация и электромагнитные поля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Временными источниками шума и вибрации в период строительства являются строительная техника, транспорт и оборудова</w:t>
      </w:r>
      <w:r w:rsidRPr="006A4C9E">
        <w:rPr>
          <w:rFonts w:asciiTheme="majorBidi" w:hAnsiTheme="majorBidi" w:cstheme="majorBidi"/>
        </w:rPr>
        <w:t xml:space="preserve">ние. Область воздействия ограничивается строительными площадками, воздействие на жилую зону оценивается как незначительное. При эксплуатации линии электропередачи возможно воздействие электрического и магнитного полей в пределах установленной зоны ВЛ; при </w:t>
      </w:r>
      <w:r w:rsidRPr="006A4C9E">
        <w:rPr>
          <w:rFonts w:asciiTheme="majorBidi" w:hAnsiTheme="majorBidi" w:cstheme="majorBidi"/>
        </w:rPr>
        <w:t>соблюдении нормативных требований физическое воздействие на население и персонал оценивается как допустимое.</w:t>
      </w:r>
    </w:p>
    <w:p w:rsidR="00E21187" w:rsidRPr="006A4C9E" w:rsidRDefault="002678D8" w:rsidP="006A4C9E">
      <w:pPr>
        <w:pStyle w:val="2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5.6. Жизнь и здоровье населения, социально-экономические условия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Существенного отрицательного воздействия на жизнь и здоровье людей, условия прожив</w:t>
      </w:r>
      <w:r w:rsidRPr="006A4C9E">
        <w:rPr>
          <w:rFonts w:asciiTheme="majorBidi" w:hAnsiTheme="majorBidi" w:cstheme="majorBidi"/>
        </w:rPr>
        <w:t>ания и хозяйственную деятельность населения не прогнозируется. По оценке отчета, реализация проекта при незначительном воздействии на окружающую среду не ограничивает права населения на хозяйственную деятельность и отдых.</w:t>
      </w:r>
    </w:p>
    <w:p w:rsidR="00E21187" w:rsidRPr="006A4C9E" w:rsidRDefault="002678D8" w:rsidP="006A4C9E">
      <w:pPr>
        <w:pStyle w:val="2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5.7. Климат, ландшафты и культурно</w:t>
      </w:r>
      <w:r w:rsidRPr="006A4C9E">
        <w:rPr>
          <w:rFonts w:asciiTheme="majorBidi" w:hAnsiTheme="majorBidi"/>
        </w:rPr>
        <w:t>е наследие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Проект не предусматривает процессы, способные существенно изменить климатические характеристики территории. Воздействие на ландшафт связано с размещением линейного объекта и локальными нарушениями в период строительства. Охраняемые историко-куль</w:t>
      </w:r>
      <w:r w:rsidRPr="006A4C9E">
        <w:rPr>
          <w:rFonts w:asciiTheme="majorBidi" w:hAnsiTheme="majorBidi" w:cstheme="majorBidi"/>
        </w:rPr>
        <w:t>турные и археологические объекты в зоне реализации проекта, согласно исходному отчету, отсутствуют.</w:t>
      </w:r>
    </w:p>
    <w:p w:rsidR="00E21187" w:rsidRPr="006A4C9E" w:rsidRDefault="002678D8" w:rsidP="006A4C9E">
      <w:pPr>
        <w:pStyle w:val="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6. Отходы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Отходы образуются только в период строительства. Их общий расчетный объем составляет 1,07606 т за период. На этапе эксплуатации образование отходо</w:t>
      </w:r>
      <w:r w:rsidRPr="006A4C9E">
        <w:rPr>
          <w:rFonts w:asciiTheme="majorBidi" w:hAnsiTheme="majorBidi" w:cstheme="majorBidi"/>
        </w:rPr>
        <w:t>в не предусматривается.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E21187" w:rsidRPr="006A4C9E">
        <w:trPr>
          <w:jc w:val="center"/>
        </w:trPr>
        <w:tc>
          <w:tcPr>
            <w:tcW w:w="3324" w:type="dxa"/>
            <w:shd w:val="clear" w:color="auto" w:fill="D9EAF7"/>
            <w:vAlign w:val="center"/>
          </w:tcPr>
          <w:p w:rsidR="00E21187" w:rsidRPr="006A4C9E" w:rsidRDefault="002678D8" w:rsidP="006A4C9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6A4C9E">
              <w:rPr>
                <w:rFonts w:asciiTheme="majorBidi" w:hAnsiTheme="majorBidi" w:cstheme="majorBidi"/>
                <w:b/>
                <w:sz w:val="20"/>
              </w:rPr>
              <w:lastRenderedPageBreak/>
              <w:t>Вид отхода</w:t>
            </w:r>
          </w:p>
        </w:tc>
        <w:tc>
          <w:tcPr>
            <w:tcW w:w="3324" w:type="dxa"/>
            <w:shd w:val="clear" w:color="auto" w:fill="D9EAF7"/>
            <w:vAlign w:val="center"/>
          </w:tcPr>
          <w:p w:rsidR="00E21187" w:rsidRPr="006A4C9E" w:rsidRDefault="002678D8" w:rsidP="006A4C9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6A4C9E">
              <w:rPr>
                <w:rFonts w:asciiTheme="majorBidi" w:hAnsiTheme="majorBidi" w:cstheme="majorBidi"/>
                <w:b/>
                <w:sz w:val="20"/>
              </w:rPr>
              <w:t>Код</w:t>
            </w:r>
          </w:p>
        </w:tc>
        <w:tc>
          <w:tcPr>
            <w:tcW w:w="3324" w:type="dxa"/>
            <w:shd w:val="clear" w:color="auto" w:fill="D9EAF7"/>
            <w:vAlign w:val="center"/>
          </w:tcPr>
          <w:p w:rsidR="00E21187" w:rsidRPr="006A4C9E" w:rsidRDefault="002678D8" w:rsidP="006A4C9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6A4C9E">
              <w:rPr>
                <w:rFonts w:asciiTheme="majorBidi" w:hAnsiTheme="majorBidi" w:cstheme="majorBidi"/>
                <w:b/>
                <w:sz w:val="20"/>
              </w:rPr>
              <w:t>Объем, т/период</w:t>
            </w:r>
          </w:p>
        </w:tc>
      </w:tr>
      <w:tr w:rsidR="00E21187" w:rsidRPr="006A4C9E">
        <w:trPr>
          <w:jc w:val="center"/>
        </w:trPr>
        <w:tc>
          <w:tcPr>
            <w:tcW w:w="3324" w:type="dxa"/>
            <w:vAlign w:val="center"/>
          </w:tcPr>
          <w:p w:rsidR="00E21187" w:rsidRPr="006A4C9E" w:rsidRDefault="002678D8" w:rsidP="006A4C9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6A4C9E">
              <w:rPr>
                <w:rFonts w:asciiTheme="majorBidi" w:hAnsiTheme="majorBidi" w:cstheme="majorBidi"/>
                <w:sz w:val="20"/>
              </w:rPr>
              <w:t>Смешанные коммунальные отходы</w:t>
            </w:r>
          </w:p>
        </w:tc>
        <w:tc>
          <w:tcPr>
            <w:tcW w:w="3324" w:type="dxa"/>
            <w:vAlign w:val="center"/>
          </w:tcPr>
          <w:p w:rsidR="00E21187" w:rsidRPr="006A4C9E" w:rsidRDefault="002678D8" w:rsidP="006A4C9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6A4C9E">
              <w:rPr>
                <w:rFonts w:asciiTheme="majorBidi" w:hAnsiTheme="majorBidi" w:cstheme="majorBidi"/>
                <w:sz w:val="20"/>
              </w:rPr>
              <w:t>20 03 01</w:t>
            </w:r>
          </w:p>
        </w:tc>
        <w:tc>
          <w:tcPr>
            <w:tcW w:w="3324" w:type="dxa"/>
            <w:vAlign w:val="center"/>
          </w:tcPr>
          <w:p w:rsidR="00E21187" w:rsidRPr="006A4C9E" w:rsidRDefault="002678D8" w:rsidP="006A4C9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6A4C9E">
              <w:rPr>
                <w:rFonts w:asciiTheme="majorBidi" w:hAnsiTheme="majorBidi" w:cstheme="majorBidi"/>
                <w:sz w:val="20"/>
              </w:rPr>
              <w:t>0,68</w:t>
            </w:r>
          </w:p>
        </w:tc>
      </w:tr>
      <w:tr w:rsidR="00E21187" w:rsidRPr="006A4C9E">
        <w:trPr>
          <w:jc w:val="center"/>
        </w:trPr>
        <w:tc>
          <w:tcPr>
            <w:tcW w:w="3324" w:type="dxa"/>
            <w:vAlign w:val="center"/>
          </w:tcPr>
          <w:p w:rsidR="00E21187" w:rsidRPr="006A4C9E" w:rsidRDefault="002678D8" w:rsidP="006A4C9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6A4C9E">
              <w:rPr>
                <w:rFonts w:asciiTheme="majorBidi" w:hAnsiTheme="majorBidi" w:cstheme="majorBidi"/>
                <w:sz w:val="20"/>
              </w:rPr>
              <w:t>Огарки сварочных электродов</w:t>
            </w:r>
          </w:p>
        </w:tc>
        <w:tc>
          <w:tcPr>
            <w:tcW w:w="3324" w:type="dxa"/>
            <w:vAlign w:val="center"/>
          </w:tcPr>
          <w:p w:rsidR="00E21187" w:rsidRPr="006A4C9E" w:rsidRDefault="002678D8" w:rsidP="006A4C9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6A4C9E">
              <w:rPr>
                <w:rFonts w:asciiTheme="majorBidi" w:hAnsiTheme="majorBidi" w:cstheme="majorBidi"/>
                <w:sz w:val="20"/>
              </w:rPr>
              <w:t>12 01 13</w:t>
            </w:r>
          </w:p>
        </w:tc>
        <w:tc>
          <w:tcPr>
            <w:tcW w:w="3324" w:type="dxa"/>
            <w:vAlign w:val="center"/>
          </w:tcPr>
          <w:p w:rsidR="00E21187" w:rsidRPr="006A4C9E" w:rsidRDefault="002678D8" w:rsidP="006A4C9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6A4C9E">
              <w:rPr>
                <w:rFonts w:asciiTheme="majorBidi" w:hAnsiTheme="majorBidi" w:cstheme="majorBidi"/>
                <w:sz w:val="20"/>
              </w:rPr>
              <w:t>0,0252</w:t>
            </w:r>
          </w:p>
        </w:tc>
      </w:tr>
      <w:tr w:rsidR="00E21187" w:rsidRPr="006A4C9E">
        <w:trPr>
          <w:jc w:val="center"/>
        </w:trPr>
        <w:tc>
          <w:tcPr>
            <w:tcW w:w="3324" w:type="dxa"/>
            <w:vAlign w:val="center"/>
          </w:tcPr>
          <w:p w:rsidR="00E21187" w:rsidRPr="006A4C9E" w:rsidRDefault="002678D8" w:rsidP="006A4C9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6A4C9E">
              <w:rPr>
                <w:rFonts w:asciiTheme="majorBidi" w:hAnsiTheme="majorBidi" w:cstheme="majorBidi"/>
                <w:sz w:val="20"/>
              </w:rPr>
              <w:t>Жестяная тара из-под лакокрасочных материалов</w:t>
            </w:r>
          </w:p>
        </w:tc>
        <w:tc>
          <w:tcPr>
            <w:tcW w:w="3324" w:type="dxa"/>
            <w:vAlign w:val="center"/>
          </w:tcPr>
          <w:p w:rsidR="00E21187" w:rsidRPr="006A4C9E" w:rsidRDefault="002678D8" w:rsidP="006A4C9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6A4C9E">
              <w:rPr>
                <w:rFonts w:asciiTheme="majorBidi" w:hAnsiTheme="majorBidi" w:cstheme="majorBidi"/>
                <w:sz w:val="20"/>
              </w:rPr>
              <w:t>15 01 10*</w:t>
            </w:r>
          </w:p>
        </w:tc>
        <w:tc>
          <w:tcPr>
            <w:tcW w:w="3324" w:type="dxa"/>
            <w:vAlign w:val="center"/>
          </w:tcPr>
          <w:p w:rsidR="00E21187" w:rsidRPr="006A4C9E" w:rsidRDefault="002678D8" w:rsidP="006A4C9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6A4C9E">
              <w:rPr>
                <w:rFonts w:asciiTheme="majorBidi" w:hAnsiTheme="majorBidi" w:cstheme="majorBidi"/>
                <w:sz w:val="20"/>
              </w:rPr>
              <w:t>0,36446</w:t>
            </w:r>
          </w:p>
        </w:tc>
      </w:tr>
      <w:tr w:rsidR="00E21187" w:rsidRPr="006A4C9E">
        <w:trPr>
          <w:jc w:val="center"/>
        </w:trPr>
        <w:tc>
          <w:tcPr>
            <w:tcW w:w="3324" w:type="dxa"/>
            <w:vAlign w:val="center"/>
          </w:tcPr>
          <w:p w:rsidR="00E21187" w:rsidRPr="006A4C9E" w:rsidRDefault="002678D8" w:rsidP="006A4C9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6A4C9E">
              <w:rPr>
                <w:rFonts w:asciiTheme="majorBidi" w:hAnsiTheme="majorBidi" w:cstheme="majorBidi"/>
                <w:sz w:val="20"/>
              </w:rPr>
              <w:t>Ветошь промасленная</w:t>
            </w:r>
          </w:p>
        </w:tc>
        <w:tc>
          <w:tcPr>
            <w:tcW w:w="3324" w:type="dxa"/>
            <w:vAlign w:val="center"/>
          </w:tcPr>
          <w:p w:rsidR="00E21187" w:rsidRPr="006A4C9E" w:rsidRDefault="002678D8" w:rsidP="006A4C9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6A4C9E">
              <w:rPr>
                <w:rFonts w:asciiTheme="majorBidi" w:hAnsiTheme="majorBidi" w:cstheme="majorBidi"/>
                <w:sz w:val="20"/>
              </w:rPr>
              <w:t>15 02 02*</w:t>
            </w:r>
          </w:p>
        </w:tc>
        <w:tc>
          <w:tcPr>
            <w:tcW w:w="3324" w:type="dxa"/>
            <w:vAlign w:val="center"/>
          </w:tcPr>
          <w:p w:rsidR="00E21187" w:rsidRPr="006A4C9E" w:rsidRDefault="002678D8" w:rsidP="006A4C9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6A4C9E">
              <w:rPr>
                <w:rFonts w:asciiTheme="majorBidi" w:hAnsiTheme="majorBidi" w:cstheme="majorBidi"/>
                <w:sz w:val="20"/>
              </w:rPr>
              <w:t>0,0064</w:t>
            </w:r>
          </w:p>
        </w:tc>
      </w:tr>
    </w:tbl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 xml:space="preserve">Отходы </w:t>
      </w:r>
      <w:r w:rsidRPr="006A4C9E">
        <w:rPr>
          <w:rFonts w:asciiTheme="majorBidi" w:hAnsiTheme="majorBidi" w:cstheme="majorBidi"/>
        </w:rPr>
        <w:t>временно накапливаются раздельно в специально отведенных местах и передаются специализированным организациям. Размещение складов и хранилищ отходов в водоохранных зонах не допускается. Захоронение отходов в рамках намечаемой деятельности не предусматривает</w:t>
      </w:r>
      <w:r w:rsidRPr="006A4C9E">
        <w:rPr>
          <w:rFonts w:asciiTheme="majorBidi" w:hAnsiTheme="majorBidi" w:cstheme="majorBidi"/>
        </w:rPr>
        <w:t>ся.</w:t>
      </w:r>
    </w:p>
    <w:p w:rsidR="00E21187" w:rsidRPr="006A4C9E" w:rsidRDefault="002678D8" w:rsidP="006A4C9E">
      <w:pPr>
        <w:pStyle w:val="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7. Аварийные ситуации и опасные природные явления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К возможным природным факторам риска относятся сильные ветры, повышенные атмосферные осадки и пожароопасные ситуации в засушливый период. К техногенным рискам относятся аварии и травмоопасные ситуации п</w:t>
      </w:r>
      <w:r w:rsidRPr="006A4C9E">
        <w:rPr>
          <w:rFonts w:asciiTheme="majorBidi" w:hAnsiTheme="majorBidi" w:cstheme="majorBidi"/>
        </w:rPr>
        <w:t>ри работе машин и оборудования, воздействие электрического тока и нарушения требований безопасности персоналом. Вероятность возникновения аварийных ситуаций в исходном отчете оценивается как малая или незначительная, а возможное воздействие - как кратковре</w:t>
      </w:r>
      <w:r w:rsidRPr="006A4C9E">
        <w:rPr>
          <w:rFonts w:asciiTheme="majorBidi" w:hAnsiTheme="majorBidi" w:cstheme="majorBidi"/>
        </w:rPr>
        <w:t>менное и допустимое.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Для предупреждения аварий предусматриваются соблюдение проектных и эксплуатационных регламентов, инструктаж и обучение персонала, регулярная проверка оборудования, выполнение требований пожарной и электрической безопасности, наличие пл</w:t>
      </w:r>
      <w:r w:rsidRPr="006A4C9E">
        <w:rPr>
          <w:rFonts w:asciiTheme="majorBidi" w:hAnsiTheme="majorBidi" w:cstheme="majorBidi"/>
        </w:rPr>
        <w:t>анов ликвидации аварий, тушения пожаров и эвакуации.</w:t>
      </w:r>
    </w:p>
    <w:p w:rsidR="00E21187" w:rsidRPr="006A4C9E" w:rsidRDefault="002678D8" w:rsidP="006A4C9E">
      <w:pPr>
        <w:pStyle w:val="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8. Меры по предотвращению и снижению воздействия</w:t>
      </w:r>
    </w:p>
    <w:p w:rsidR="00E21187" w:rsidRPr="006A4C9E" w:rsidRDefault="002678D8" w:rsidP="006A4C9E">
      <w:pPr>
        <w:pStyle w:val="a0"/>
        <w:spacing w:after="0"/>
        <w:ind w:left="425" w:firstLine="0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технологическая регламентация строительных работ и экологическое сопровождение деятельности;</w:t>
      </w:r>
    </w:p>
    <w:p w:rsidR="00E21187" w:rsidRPr="006A4C9E" w:rsidRDefault="002678D8" w:rsidP="006A4C9E">
      <w:pPr>
        <w:pStyle w:val="a0"/>
        <w:spacing w:after="0"/>
        <w:ind w:left="425" w:firstLine="0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 xml:space="preserve">упорядоченное движение транспорта и ограничение его движения </w:t>
      </w:r>
      <w:r w:rsidRPr="006A4C9E">
        <w:rPr>
          <w:rFonts w:asciiTheme="majorBidi" w:hAnsiTheme="majorBidi" w:cstheme="majorBidi"/>
        </w:rPr>
        <w:t>пределами отведенных территорий;</w:t>
      </w:r>
    </w:p>
    <w:p w:rsidR="00E21187" w:rsidRPr="006A4C9E" w:rsidRDefault="002678D8" w:rsidP="006A4C9E">
      <w:pPr>
        <w:pStyle w:val="a0"/>
        <w:spacing w:after="0"/>
        <w:ind w:left="425" w:firstLine="0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предотвращение пыления и сокращение времени проведения пылящих работ;</w:t>
      </w:r>
    </w:p>
    <w:p w:rsidR="00E21187" w:rsidRPr="006A4C9E" w:rsidRDefault="002678D8" w:rsidP="006A4C9E">
      <w:pPr>
        <w:pStyle w:val="a0"/>
        <w:spacing w:after="0"/>
        <w:ind w:left="425" w:firstLine="0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контроль технического состояния машин и оборудования, предупреждение утечек топлива и масел;</w:t>
      </w:r>
    </w:p>
    <w:p w:rsidR="00E21187" w:rsidRPr="006A4C9E" w:rsidRDefault="002678D8" w:rsidP="006A4C9E">
      <w:pPr>
        <w:pStyle w:val="a0"/>
        <w:spacing w:after="0"/>
        <w:ind w:left="425" w:firstLine="0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соблюдение водоохранного режима при работах вблизи рек Кокта</w:t>
      </w:r>
      <w:r w:rsidRPr="006A4C9E">
        <w:rPr>
          <w:rFonts w:asciiTheme="majorBidi" w:hAnsiTheme="majorBidi" w:cstheme="majorBidi"/>
        </w:rPr>
        <w:t>л и Усек, недопущение сбросов и размещения отходов в водоохранных зонах;</w:t>
      </w:r>
    </w:p>
    <w:p w:rsidR="00E21187" w:rsidRPr="006A4C9E" w:rsidRDefault="002678D8" w:rsidP="006A4C9E">
      <w:pPr>
        <w:pStyle w:val="a0"/>
        <w:spacing w:after="0"/>
        <w:ind w:left="425" w:firstLine="0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раздельный сбор, безопасное временное накопление и своевременная передача отходов специализированным организациям;</w:t>
      </w:r>
    </w:p>
    <w:p w:rsidR="00E21187" w:rsidRPr="006A4C9E" w:rsidRDefault="002678D8" w:rsidP="006A4C9E">
      <w:pPr>
        <w:pStyle w:val="a0"/>
        <w:spacing w:after="0"/>
        <w:ind w:left="425" w:firstLine="0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минимизация нарушения почвенно-растительного покрова и восстановлени</w:t>
      </w:r>
      <w:r w:rsidRPr="006A4C9E">
        <w:rPr>
          <w:rFonts w:asciiTheme="majorBidi" w:hAnsiTheme="majorBidi" w:cstheme="majorBidi"/>
        </w:rPr>
        <w:t>е нарушенных участков после завершения работ;</w:t>
      </w:r>
    </w:p>
    <w:p w:rsidR="00E21187" w:rsidRPr="006A4C9E" w:rsidRDefault="002678D8" w:rsidP="006A4C9E">
      <w:pPr>
        <w:pStyle w:val="a0"/>
        <w:spacing w:after="0"/>
        <w:ind w:left="425" w:firstLine="0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применение оборудования с низким уровнем шума и соблюдение нормативов физических воздействий;</w:t>
      </w:r>
    </w:p>
    <w:p w:rsidR="00E21187" w:rsidRPr="006A4C9E" w:rsidRDefault="002678D8" w:rsidP="006A4C9E">
      <w:pPr>
        <w:pStyle w:val="a0"/>
        <w:spacing w:after="0"/>
        <w:ind w:left="425" w:firstLine="0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установка птицезащитных устройств на элементах электросетевого объекта;</w:t>
      </w:r>
    </w:p>
    <w:p w:rsidR="00E21187" w:rsidRPr="006A4C9E" w:rsidRDefault="002678D8" w:rsidP="006A4C9E">
      <w:pPr>
        <w:pStyle w:val="a0"/>
        <w:spacing w:after="0"/>
        <w:ind w:left="425" w:firstLine="0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соблюдение требований пожарной, промышленной</w:t>
      </w:r>
      <w:r w:rsidRPr="006A4C9E">
        <w:rPr>
          <w:rFonts w:asciiTheme="majorBidi" w:hAnsiTheme="majorBidi" w:cstheme="majorBidi"/>
        </w:rPr>
        <w:t xml:space="preserve"> и электрической безопасности.</w:t>
      </w:r>
    </w:p>
    <w:p w:rsidR="00E21187" w:rsidRPr="006A4C9E" w:rsidRDefault="002678D8" w:rsidP="006A4C9E">
      <w:pPr>
        <w:pStyle w:val="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9. Необратимые воздействия, компенсация и восстановление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 xml:space="preserve">В исходном отчете необратимые существенные воздействия, требующие специального обоснования выполнения операций и сравнительного анализа экологических, социальных, </w:t>
      </w:r>
      <w:r w:rsidRPr="006A4C9E">
        <w:rPr>
          <w:rFonts w:asciiTheme="majorBidi" w:hAnsiTheme="majorBidi" w:cstheme="majorBidi"/>
        </w:rPr>
        <w:lastRenderedPageBreak/>
        <w:t>культурных и экономических потерь и выгод, не выявлены. Необходимость компенсации потерь биоразнообразия не установлена.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После завершения строительных работ предусматривается восстановление нарушенных участков. В случае отказа от намечаемой деятельности те</w:t>
      </w:r>
      <w:r w:rsidRPr="006A4C9E">
        <w:rPr>
          <w:rFonts w:asciiTheme="majorBidi" w:hAnsiTheme="majorBidi" w:cstheme="majorBidi"/>
        </w:rPr>
        <w:t>рритория может использоваться для иных целей. Необходимость проведения послепроектного анализа в исходном отчете не установлена ввиду отсутствия выявленных неопределенностей в оценке возможных существенных воздействий.</w:t>
      </w:r>
    </w:p>
    <w:p w:rsidR="00E21187" w:rsidRPr="006A4C9E" w:rsidRDefault="002678D8" w:rsidP="006A4C9E">
      <w:pPr>
        <w:pStyle w:val="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10. Общий вывод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 xml:space="preserve">Основные воздействия </w:t>
      </w:r>
      <w:r w:rsidRPr="006A4C9E">
        <w:rPr>
          <w:rFonts w:asciiTheme="majorBidi" w:hAnsiTheme="majorBidi" w:cstheme="majorBidi"/>
        </w:rPr>
        <w:t>проекта связаны с этапом строительства и имеют временный и преимущественно локальный характер. Наиболее значимыми факторами являются выбросы загрязняющих веществ при строительных работах, шум и вибрация от техники, локальное нарушение почвенно-растительног</w:t>
      </w:r>
      <w:r w:rsidRPr="006A4C9E">
        <w:rPr>
          <w:rFonts w:asciiTheme="majorBidi" w:hAnsiTheme="majorBidi" w:cstheme="majorBidi"/>
        </w:rPr>
        <w:t>о покрова, образование небольшого объема отходов и риски загрязнения при нарушении правил обращения с горюче-смазочными материалами и отходами. При эксплуатации выбросы и образование отходов не предусматриваются, водопотребление и водоотведение отсутствуют</w:t>
      </w:r>
      <w:r w:rsidRPr="006A4C9E">
        <w:rPr>
          <w:rFonts w:asciiTheme="majorBidi" w:hAnsiTheme="majorBidi" w:cstheme="majorBidi"/>
        </w:rPr>
        <w:t>.</w:t>
      </w:r>
    </w:p>
    <w:p w:rsidR="00E21187" w:rsidRPr="006A4C9E" w:rsidRDefault="002678D8" w:rsidP="006A4C9E">
      <w:pPr>
        <w:spacing w:after="0"/>
        <w:ind w:firstLine="709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С учетом предусмотренных природоохранных и организационно-технических мероприятий в исходном Отчете о возможных воздействиях воздействие намечаемой деятельности на окружающую среду оценивается как незначительное/низкой значимости и допустимое. Существенн</w:t>
      </w:r>
      <w:r w:rsidRPr="006A4C9E">
        <w:rPr>
          <w:rFonts w:asciiTheme="majorBidi" w:hAnsiTheme="majorBidi" w:cstheme="majorBidi"/>
        </w:rPr>
        <w:t>ого ухудшения состояния компонентов окружающей среды и условий проживания населения не прогнозируется.</w:t>
      </w:r>
    </w:p>
    <w:p w:rsidR="00E21187" w:rsidRPr="006A4C9E" w:rsidRDefault="002678D8" w:rsidP="006A4C9E">
      <w:pPr>
        <w:pStyle w:val="1"/>
        <w:spacing w:before="0" w:after="0"/>
        <w:jc w:val="both"/>
        <w:rPr>
          <w:rFonts w:asciiTheme="majorBidi" w:hAnsiTheme="majorBidi"/>
        </w:rPr>
      </w:pPr>
      <w:r w:rsidRPr="006A4C9E">
        <w:rPr>
          <w:rFonts w:asciiTheme="majorBidi" w:hAnsiTheme="majorBidi"/>
        </w:rPr>
        <w:t>11. Источники информации</w:t>
      </w:r>
    </w:p>
    <w:p w:rsidR="00E21187" w:rsidRPr="006A4C9E" w:rsidRDefault="002678D8" w:rsidP="006A4C9E">
      <w:pPr>
        <w:spacing w:after="0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1. Отчет о возможных воздействиях «Строительство одноцепной линии 110 кВ от «Рудничные ГЭС-1» до ПС №143 «Жаркент-2». Расширение</w:t>
      </w:r>
      <w:r w:rsidRPr="006A4C9E">
        <w:rPr>
          <w:rFonts w:asciiTheme="majorBidi" w:hAnsiTheme="majorBidi" w:cstheme="majorBidi"/>
        </w:rPr>
        <w:t xml:space="preserve"> ОРУ 110 кВ», ТОО «НПК Экоресурс», 2026 г.</w:t>
      </w:r>
    </w:p>
    <w:p w:rsidR="00E21187" w:rsidRPr="006A4C9E" w:rsidRDefault="002678D8" w:rsidP="006A4C9E">
      <w:pPr>
        <w:spacing w:after="0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2. Экологический кодекс Республики Казахстан от 2 января 2021 года № 400-VI ЗРК.</w:t>
      </w:r>
    </w:p>
    <w:p w:rsidR="00E21187" w:rsidRPr="006A4C9E" w:rsidRDefault="002678D8" w:rsidP="006A4C9E">
      <w:pPr>
        <w:spacing w:after="0"/>
        <w:jc w:val="both"/>
        <w:rPr>
          <w:rFonts w:asciiTheme="majorBidi" w:hAnsiTheme="majorBidi" w:cstheme="majorBidi"/>
        </w:rPr>
      </w:pPr>
      <w:r w:rsidRPr="006A4C9E">
        <w:rPr>
          <w:rFonts w:asciiTheme="majorBidi" w:hAnsiTheme="majorBidi" w:cstheme="majorBidi"/>
        </w:rPr>
        <w:t>3. Инструкция по организации и проведению экологической оценки, утвержденная приказом Министра экологии, геологии и природных ресурс</w:t>
      </w:r>
      <w:r w:rsidRPr="006A4C9E">
        <w:rPr>
          <w:rFonts w:asciiTheme="majorBidi" w:hAnsiTheme="majorBidi" w:cstheme="majorBidi"/>
        </w:rPr>
        <w:t>ов Республики Казахстан от 30 июля 2021 года № 280.</w:t>
      </w:r>
    </w:p>
    <w:sectPr w:rsidR="00E21187" w:rsidRPr="006A4C9E" w:rsidSect="00034616">
      <w:footerReference w:type="default" r:id="rId9"/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8D8" w:rsidRDefault="002678D8">
      <w:pPr>
        <w:spacing w:after="0" w:line="240" w:lineRule="auto"/>
      </w:pPr>
      <w:r>
        <w:separator/>
      </w:r>
    </w:p>
  </w:endnote>
  <w:endnote w:type="continuationSeparator" w:id="0">
    <w:p w:rsidR="002678D8" w:rsidRDefault="0026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187" w:rsidRDefault="002678D8">
    <w:pPr>
      <w:pStyle w:val="a7"/>
      <w:jc w:val="center"/>
    </w:pPr>
    <w:r>
      <w:t xml:space="preserve">Стр. </w:t>
    </w:r>
    <w:r>
      <w:fldChar w:fldCharType="begin"/>
    </w:r>
    <w:r>
      <w:instrText>PAGE</w:instrText>
    </w:r>
    <w:r>
      <w:fldChar w:fldCharType="separate"/>
    </w:r>
    <w:r w:rsidR="006A4C9E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8D8" w:rsidRDefault="002678D8">
      <w:pPr>
        <w:spacing w:after="0" w:line="240" w:lineRule="auto"/>
      </w:pPr>
      <w:r>
        <w:separator/>
      </w:r>
    </w:p>
  </w:footnote>
  <w:footnote w:type="continuationSeparator" w:id="0">
    <w:p w:rsidR="002678D8" w:rsidRDefault="00267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678D8"/>
    <w:rsid w:val="0029639D"/>
    <w:rsid w:val="00326F90"/>
    <w:rsid w:val="006A4C9E"/>
    <w:rsid w:val="00AA1D8D"/>
    <w:rsid w:val="00B47730"/>
    <w:rsid w:val="00CB0664"/>
    <w:rsid w:val="00E211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518CCE8C-F252-42BA-95EB-050B56B70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80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before="200" w:after="12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3BE12B-D134-47FB-9B21-D0A8A367B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1970</Words>
  <Characters>11231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13175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Учетная запись Майкрософт</cp:lastModifiedBy>
  <cp:revision>2</cp:revision>
  <dcterms:created xsi:type="dcterms:W3CDTF">2026-08-28T04:19:00Z</dcterms:created>
  <dcterms:modified xsi:type="dcterms:W3CDTF">2026-08-28T04:19:00Z</dcterms:modified>
  <cp:category/>
</cp:coreProperties>
</file>