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D3B5B5" w14:textId="77777777" w:rsidR="002A7391" w:rsidRPr="00E87CB4" w:rsidRDefault="002A7391" w:rsidP="002A7391">
      <w:bookmarkStart w:id="0" w:name="_Hlk200814736"/>
      <w:r>
        <w:t xml:space="preserve">Заказчик проекта – </w:t>
      </w:r>
      <w:r w:rsidRPr="00014116">
        <w:t xml:space="preserve">ТОО "Казахстанско-французское совместное предприятие "КАТКО". БИН 981040001439. Туркестанская область, </w:t>
      </w:r>
      <w:proofErr w:type="spellStart"/>
      <w:r w:rsidRPr="00014116">
        <w:t>Сузакский</w:t>
      </w:r>
      <w:proofErr w:type="spellEnd"/>
      <w:r w:rsidRPr="00014116">
        <w:t xml:space="preserve"> район, </w:t>
      </w:r>
      <w:proofErr w:type="spellStart"/>
      <w:r w:rsidRPr="00014116">
        <w:t>Тастинский</w:t>
      </w:r>
      <w:proofErr w:type="spellEnd"/>
      <w:r w:rsidRPr="00014116">
        <w:t xml:space="preserve"> </w:t>
      </w:r>
      <w:proofErr w:type="spellStart"/>
      <w:r w:rsidRPr="00014116">
        <w:t>с.о</w:t>
      </w:r>
      <w:proofErr w:type="spellEnd"/>
      <w:r w:rsidRPr="00014116">
        <w:t xml:space="preserve">., </w:t>
      </w:r>
      <w:proofErr w:type="spellStart"/>
      <w:r w:rsidRPr="00014116">
        <w:t>с.Тасты</w:t>
      </w:r>
      <w:proofErr w:type="spellEnd"/>
      <w:r w:rsidRPr="00014116">
        <w:t xml:space="preserve">, квартал 060, зд.44, почтовый индекс 161003. тел.: +7(777)-236-46-99; </w:t>
      </w:r>
      <w:proofErr w:type="spellStart"/>
      <w:r w:rsidRPr="00014116">
        <w:t>email</w:t>
      </w:r>
      <w:proofErr w:type="spellEnd"/>
      <w:r w:rsidRPr="00014116">
        <w:t xml:space="preserve">: </w:t>
      </w:r>
      <w:proofErr w:type="spellStart"/>
      <w:r w:rsidRPr="00014116">
        <w:t>nurgul.baimenova@orano.group</w:t>
      </w:r>
      <w:proofErr w:type="spellEnd"/>
      <w:r w:rsidRPr="00014116">
        <w:t>.</w:t>
      </w:r>
    </w:p>
    <w:p w14:paraId="34B24D2A" w14:textId="5B6F4E98" w:rsidR="002A7391" w:rsidRDefault="002A7391" w:rsidP="002A7391">
      <w:bookmarkStart w:id="1" w:name="_GoBack"/>
      <w:bookmarkEnd w:id="1"/>
      <w:r w:rsidRPr="007F4576">
        <w:t xml:space="preserve">Рабочий проект «Строительство склада нефтепродуктов с топливо -заправочным пунктом на участке №2 </w:t>
      </w:r>
      <w:proofErr w:type="spellStart"/>
      <w:r w:rsidRPr="007F4576">
        <w:t>Торткудук</w:t>
      </w:r>
      <w:proofErr w:type="spellEnd"/>
      <w:r w:rsidRPr="007F4576">
        <w:t xml:space="preserve"> месторождения </w:t>
      </w:r>
      <w:proofErr w:type="spellStart"/>
      <w:r w:rsidRPr="007F4576">
        <w:t>Мойынкум</w:t>
      </w:r>
      <w:proofErr w:type="spellEnd"/>
      <w:r w:rsidRPr="007F4576">
        <w:t>» предусматривает строительство здание операторной, навес над ТРК, навес над АСН, резервуары для АИ-92 объемом 25м3, резервуары для хранения дизтоплива объемом 100м3, аварийный резервуар 15м3, площадка для слива АЦ, узел слива, технологический отсек переключения аварийных проливов, очистные сооружения ливневых стоков, емкость для накопления очищенных ливневых стоков, накопительная площадка для ПАЗС (на 4 машины), площадка для контейнеров с ТБО</w:t>
      </w:r>
      <w:bookmarkEnd w:id="0"/>
      <w:r>
        <w:t>.</w:t>
      </w:r>
    </w:p>
    <w:p w14:paraId="37471E19" w14:textId="77777777" w:rsidR="002A7391" w:rsidRDefault="002A7391" w:rsidP="002A7391">
      <w:pPr>
        <w:rPr>
          <w:b/>
          <w:u w:val="single"/>
        </w:rPr>
      </w:pPr>
    </w:p>
    <w:p w14:paraId="3E5A76C1" w14:textId="77777777" w:rsidR="002A7391" w:rsidRPr="00F46868" w:rsidRDefault="002A7391" w:rsidP="002A7391">
      <w:pPr>
        <w:rPr>
          <w:b/>
          <w:u w:val="single"/>
        </w:rPr>
      </w:pPr>
      <w:r w:rsidRPr="00F46868">
        <w:rPr>
          <w:b/>
          <w:u w:val="single"/>
        </w:rPr>
        <w:t>Площадка резервуаров</w:t>
      </w:r>
    </w:p>
    <w:p w14:paraId="2F8AA381" w14:textId="77777777" w:rsidR="002A7391" w:rsidRDefault="002A7391" w:rsidP="002A7391">
      <w:r>
        <w:t>Для хранения топлива проектом предусмотрена установка 2-х резервуаров емкостью 25м3 для бензина марки АИ-92 и 3-х резервуаров емкостью 100м3 для дизельного топлива. Резервуары приняты двустенные подземного исполнения.</w:t>
      </w:r>
    </w:p>
    <w:p w14:paraId="74AF5A16" w14:textId="77777777" w:rsidR="002A7391" w:rsidRDefault="002A7391" w:rsidP="002A7391">
      <w:r>
        <w:t>Общая емкость резервуаров – 450м3.</w:t>
      </w:r>
    </w:p>
    <w:p w14:paraId="061FF01D" w14:textId="77777777" w:rsidR="002A7391" w:rsidRDefault="002A7391" w:rsidP="002A7391">
      <w:r>
        <w:t xml:space="preserve">Каждый резервуар устанавливается </w:t>
      </w:r>
      <w:proofErr w:type="spellStart"/>
      <w:r>
        <w:t>подземно</w:t>
      </w:r>
      <w:proofErr w:type="spellEnd"/>
      <w:r>
        <w:t xml:space="preserve"> в отдельном железобетонном кожухе с последующей засыпкой песком по всей высоте.</w:t>
      </w:r>
    </w:p>
    <w:p w14:paraId="124B2E3A" w14:textId="77777777" w:rsidR="002A7391" w:rsidRDefault="002A7391" w:rsidP="002A7391">
      <w:r>
        <w:t>Резервуары, согласно СН РК 3.05-07-2012 устанавливаются с уклоном 0.004 в сторону приемного клапана всасывающего устройства.</w:t>
      </w:r>
    </w:p>
    <w:p w14:paraId="6939288E" w14:textId="77777777" w:rsidR="002A7391" w:rsidRDefault="002A7391" w:rsidP="002A7391">
      <w:r>
        <w:t>Для обнаружения утечек в железобетонном кожухе предусмотрены смотровые трубы.</w:t>
      </w:r>
    </w:p>
    <w:p w14:paraId="50D5C659" w14:textId="77777777" w:rsidR="002A7391" w:rsidRDefault="002A7391" w:rsidP="002A7391">
      <w:r>
        <w:t>Резервуары емкостью V=100м3, V=25м3 оборудованы эвакуационными люками.</w:t>
      </w:r>
    </w:p>
    <w:p w14:paraId="34271A5A" w14:textId="77777777" w:rsidR="002A7391" w:rsidRDefault="002A7391" w:rsidP="002A7391">
      <w:r>
        <w:t>Оборудование резервуаров монтируется в металлических колодцах прямоугольной формы. Корпус колодца жестко крепится к корпусу резервуара. Для предохранения от коррозии поверхность резервуара и колодца покрывается антикоррозийной изоляцией согласно действующим нормам. В целях предохранения от действия статических электрических зарядов и блуждающих токов резервуары оборудуются специальным заземлением.</w:t>
      </w:r>
    </w:p>
    <w:p w14:paraId="5B2AB640" w14:textId="77777777" w:rsidR="002A7391" w:rsidRDefault="002A7391" w:rsidP="002A7391">
      <w:r>
        <w:t>Прием топлива из автоцистерн в резервуары осуществляется через муфты герметизированного слива, установленные на площадке для слива топлива. На вертикальном участке трубы сливного устройства внутри резервуара устанавливается клапан отсечной поплавковый, который предназначен для перекрытия основного потока топлива во время осуществления операции слива из автоцистерны в резервуар ТЗП при достижении уровня топлива в резервуаре заданной величины.</w:t>
      </w:r>
    </w:p>
    <w:p w14:paraId="109EA100" w14:textId="77777777" w:rsidR="002A7391" w:rsidRDefault="002A7391" w:rsidP="002A7391">
      <w:r>
        <w:t>Нижний конец сливной трубы обрезан под углом 450 на высоте 150мм от дна резервуара.</w:t>
      </w:r>
    </w:p>
    <w:p w14:paraId="3093381F" w14:textId="77777777" w:rsidR="002A7391" w:rsidRDefault="002A7391" w:rsidP="002A7391">
      <w:r>
        <w:t>Подача топлива из резервуаров колонкам производится с помощью погружных насосов, которые устанавливаются на горловинах резервуаров. Приёмный клапан трубы насоса устанавливается на высоте 200 мм от дна резервуара.</w:t>
      </w:r>
    </w:p>
    <w:p w14:paraId="1ADCBCCE" w14:textId="77777777" w:rsidR="002A7391" w:rsidRDefault="002A7391" w:rsidP="002A7391">
      <w:r>
        <w:lastRenderedPageBreak/>
        <w:t xml:space="preserve">Отбор подтоварной воды производится по мере необходимости через </w:t>
      </w:r>
      <w:proofErr w:type="spellStart"/>
      <w:r>
        <w:t>зачистную</w:t>
      </w:r>
      <w:proofErr w:type="spellEnd"/>
      <w:r>
        <w:t xml:space="preserve"> трубу </w:t>
      </w:r>
      <w:proofErr w:type="spellStart"/>
      <w:r>
        <w:t>Dy</w:t>
      </w:r>
      <w:proofErr w:type="spellEnd"/>
      <w:r>
        <w:t xml:space="preserve"> 40мм, нижний конец которой устанавливается на высоте 15мм от дна резервуара.</w:t>
      </w:r>
    </w:p>
    <w:p w14:paraId="2143DF83" w14:textId="77777777" w:rsidR="002A7391" w:rsidRDefault="002A7391" w:rsidP="002A7391">
      <w:r>
        <w:t>Зачистка резервуаров производится не менее одного раза в два года.</w:t>
      </w:r>
    </w:p>
    <w:p w14:paraId="43E272AA" w14:textId="77777777" w:rsidR="002A7391" w:rsidRDefault="002A7391" w:rsidP="002A7391">
      <w:r>
        <w:t>Замер топлива производится с помощью зонда уровнемера, который устанавливается на патрубке резервуара. В случае неисправности уровнемера, замер топлива производится с помощью метрштока, через люк замерный ЛЗ-150, который устанавливается на патрубке замерного люка. В патрубке замерного люка имеется штуцер dу50мм для подсоединения дыхательного трубопровода.</w:t>
      </w:r>
    </w:p>
    <w:p w14:paraId="6155C7EF" w14:textId="77777777" w:rsidR="002A7391" w:rsidRDefault="002A7391" w:rsidP="002A7391">
      <w:r>
        <w:t>Для перекрытия трубопроводов подачи топлива к топливораздаточным колонкам в проекте предусмотрены шаровые краны.</w:t>
      </w:r>
    </w:p>
    <w:p w14:paraId="32E41668" w14:textId="77777777" w:rsidR="002A7391" w:rsidRDefault="002A7391" w:rsidP="002A7391">
      <w:r>
        <w:t xml:space="preserve">Для уменьшения потерь бензинов от испарения при сливе, и для предотвращения разрушения резервуаров в проекте предусмотрена </w:t>
      </w:r>
      <w:proofErr w:type="spellStart"/>
      <w:r>
        <w:t>газоуравнительная</w:t>
      </w:r>
      <w:proofErr w:type="spellEnd"/>
      <w:r>
        <w:t xml:space="preserve"> система, представляющая стояк, с установленными на нем дыхательными клапанами повышенного давления типа СМДК-50.</w:t>
      </w:r>
    </w:p>
    <w:p w14:paraId="733C73E9" w14:textId="77777777" w:rsidR="002A7391" w:rsidRDefault="002A7391" w:rsidP="002A7391">
      <w:r>
        <w:t>Для сокращения потерь бензина и дизельного топлива от испарения в резервуаре и для предотвращения их от разрушения в проекте предусмотрен отдельный стояк с дыхательным клапаном типа СМДК-50.</w:t>
      </w:r>
    </w:p>
    <w:p w14:paraId="7137B391" w14:textId="77777777" w:rsidR="002A7391" w:rsidRDefault="002A7391" w:rsidP="002A7391">
      <w:proofErr w:type="spellStart"/>
      <w:r>
        <w:t>Газоуравнительная</w:t>
      </w:r>
      <w:proofErr w:type="spellEnd"/>
      <w:r>
        <w:t xml:space="preserve"> система обеспечивает возврат паровоздушной смеси из заполняемого резервуара в автоцистерну.</w:t>
      </w:r>
    </w:p>
    <w:p w14:paraId="00F0C0AF" w14:textId="77777777" w:rsidR="002A7391" w:rsidRDefault="002A7391" w:rsidP="002A7391">
      <w:r>
        <w:t>Во</w:t>
      </w:r>
      <w:r>
        <w:tab/>
        <w:t>время заполнения резервуаров отпуск нефтепродуктов приостанавливается.</w:t>
      </w:r>
    </w:p>
    <w:p w14:paraId="2F1CA88E" w14:textId="77777777" w:rsidR="002A7391" w:rsidRDefault="002A7391" w:rsidP="002A7391"/>
    <w:p w14:paraId="797B2527" w14:textId="77777777" w:rsidR="002A7391" w:rsidRPr="00F46868" w:rsidRDefault="002A7391" w:rsidP="002A7391">
      <w:pPr>
        <w:jc w:val="center"/>
        <w:rPr>
          <w:b/>
          <w:u w:val="single"/>
        </w:rPr>
      </w:pPr>
      <w:r w:rsidRPr="00F46868">
        <w:rPr>
          <w:b/>
          <w:u w:val="single"/>
        </w:rPr>
        <w:t>Заправочный островок ТРК</w:t>
      </w:r>
    </w:p>
    <w:p w14:paraId="044D3F26" w14:textId="77777777" w:rsidR="002A7391" w:rsidRDefault="002A7391" w:rsidP="002A7391">
      <w:r>
        <w:t>В проекте предусмотрены 2 железобетонных островка, с установленными на них топливораздаточными колонками, в том числе:</w:t>
      </w:r>
    </w:p>
    <w:p w14:paraId="227C34F3" w14:textId="77777777" w:rsidR="002A7391" w:rsidRDefault="002A7391" w:rsidP="002A7391">
      <w:r>
        <w:t>- одной 2-х рукавных двух продуктовых колонок и одной однорукавной продуктовой колонки, устанавливаемые на отдельных островках (поз.4А/Б) под общим навесом;</w:t>
      </w:r>
    </w:p>
    <w:p w14:paraId="12082533" w14:textId="77777777" w:rsidR="002A7391" w:rsidRDefault="002A7391" w:rsidP="002A7391">
      <w:r>
        <w:t>Колонки оборудованы вакуумной системой улавливания паров бензина. Вакуумная система обеспечивает отсос паров бензина из заправляемого топливного бака автомобилей и сброс паров бензина по специальному трубопроводу в резервуары хранения.</w:t>
      </w:r>
    </w:p>
    <w:p w14:paraId="5D87BD9D" w14:textId="77777777" w:rsidR="002A7391" w:rsidRDefault="002A7391" w:rsidP="002A7391">
      <w:r>
        <w:t xml:space="preserve">Все ТРК оборудованы клапанами - </w:t>
      </w:r>
      <w:proofErr w:type="spellStart"/>
      <w:r>
        <w:t>отсекателями</w:t>
      </w:r>
      <w:proofErr w:type="spellEnd"/>
      <w:r>
        <w:t xml:space="preserve"> для экстренного перекрытия подачи топлива в случае наезда или срыва колонки.</w:t>
      </w:r>
    </w:p>
    <w:p w14:paraId="3B8210B1" w14:textId="77777777" w:rsidR="002A7391" w:rsidRDefault="002A7391" w:rsidP="002A7391">
      <w:r>
        <w:t xml:space="preserve">Заправка легковых и грузовых автомобилей осуществляется с помощью топливозаправочных колонок типа </w:t>
      </w:r>
      <w:proofErr w:type="spellStart"/>
      <w:r>
        <w:t>Gilbarco</w:t>
      </w:r>
      <w:proofErr w:type="spellEnd"/>
      <w:r>
        <w:t xml:space="preserve"> серии SK700-II FRONTIER.</w:t>
      </w:r>
    </w:p>
    <w:p w14:paraId="07C73C48" w14:textId="77777777" w:rsidR="002A7391" w:rsidRDefault="002A7391" w:rsidP="002A7391">
      <w:r>
        <w:t xml:space="preserve">Колонка </w:t>
      </w:r>
      <w:proofErr w:type="spellStart"/>
      <w:r>
        <w:t>Gilbarco</w:t>
      </w:r>
      <w:proofErr w:type="spellEnd"/>
      <w:r>
        <w:t xml:space="preserve"> SK700-II FRONTIER 2/0/2, 40л/мин, предусмотрена для заправки ДТ и АИ-92, в количестве 1шт.</w:t>
      </w:r>
    </w:p>
    <w:p w14:paraId="016051CE" w14:textId="77777777" w:rsidR="002A7391" w:rsidRDefault="002A7391" w:rsidP="002A7391">
      <w:r>
        <w:t xml:space="preserve"> Колонка </w:t>
      </w:r>
      <w:proofErr w:type="spellStart"/>
      <w:r>
        <w:t>Gilbarco</w:t>
      </w:r>
      <w:proofErr w:type="spellEnd"/>
      <w:r>
        <w:t xml:space="preserve"> SK700-II FRONTIER 1/0/1, 120л/мин ÷ 70л/мин, предусмотрена для заправки ДТ, в количестве Колонки установлены на бетонных островках под общим навесом.</w:t>
      </w:r>
    </w:p>
    <w:p w14:paraId="672EEF6D" w14:textId="77777777" w:rsidR="002A7391" w:rsidRDefault="002A7391" w:rsidP="002A7391">
      <w:r>
        <w:lastRenderedPageBreak/>
        <w:t xml:space="preserve"> </w:t>
      </w:r>
    </w:p>
    <w:p w14:paraId="0EA40D28" w14:textId="77777777" w:rsidR="002A7391" w:rsidRDefault="002A7391" w:rsidP="002A7391">
      <w:r>
        <w:t xml:space="preserve">Линии выдачи топлива </w:t>
      </w:r>
      <w:proofErr w:type="gramStart"/>
      <w:r>
        <w:t>к топливозаправочным колонками</w:t>
      </w:r>
      <w:proofErr w:type="gramEnd"/>
      <w:r>
        <w:t xml:space="preserve"> - напорные. Забор топлива из резервуаров предусмотрен погружными турбинными насосами модели STP </w:t>
      </w:r>
      <w:proofErr w:type="spellStart"/>
      <w:r>
        <w:t>Red</w:t>
      </w:r>
      <w:proofErr w:type="spellEnd"/>
      <w:r>
        <w:t xml:space="preserve"> </w:t>
      </w:r>
      <w:proofErr w:type="spellStart"/>
      <w:r>
        <w:t>Jacket</w:t>
      </w:r>
      <w:proofErr w:type="spellEnd"/>
      <w:r>
        <w:t xml:space="preserve"> тип Р75U17-3RJ2, установленными на резервуарах с автобензином и STP </w:t>
      </w:r>
      <w:proofErr w:type="spellStart"/>
      <w:r>
        <w:t>Red</w:t>
      </w:r>
      <w:proofErr w:type="spellEnd"/>
      <w:r>
        <w:t xml:space="preserve"> </w:t>
      </w:r>
      <w:proofErr w:type="spellStart"/>
      <w:r>
        <w:t>Jacket</w:t>
      </w:r>
      <w:proofErr w:type="spellEnd"/>
      <w:r>
        <w:t xml:space="preserve"> тип Р150U17-3RJ2, установленными на резервуарах для дизтоплива.</w:t>
      </w:r>
    </w:p>
    <w:p w14:paraId="46996D54" w14:textId="77777777" w:rsidR="002A7391" w:rsidRDefault="002A7391" w:rsidP="002A7391"/>
    <w:p w14:paraId="07041965" w14:textId="77777777" w:rsidR="002A7391" w:rsidRPr="001C6140" w:rsidRDefault="002A7391" w:rsidP="002A7391">
      <w:pPr>
        <w:jc w:val="center"/>
        <w:rPr>
          <w:b/>
          <w:u w:val="single"/>
        </w:rPr>
      </w:pPr>
      <w:r w:rsidRPr="001C6140">
        <w:rPr>
          <w:b/>
          <w:u w:val="single"/>
        </w:rPr>
        <w:t>Заправочный островок АСН</w:t>
      </w:r>
    </w:p>
    <w:p w14:paraId="434EDE0E" w14:textId="77777777" w:rsidR="002A7391" w:rsidRDefault="002A7391" w:rsidP="002A7391">
      <w:r>
        <w:t xml:space="preserve">В проекте предусмотрено железобетонная площадка, с установленными на них двумя наливными рукавами в количестве 1 </w:t>
      </w:r>
      <w:proofErr w:type="spellStart"/>
      <w:r>
        <w:t>ед</w:t>
      </w:r>
      <w:proofErr w:type="spellEnd"/>
      <w:r>
        <w:t xml:space="preserve"> (поз.5) под общим навесом;</w:t>
      </w:r>
    </w:p>
    <w:p w14:paraId="43A998ED" w14:textId="77777777" w:rsidR="002A7391" w:rsidRDefault="002A7391" w:rsidP="002A7391">
      <w:r>
        <w:t xml:space="preserve">Для налива дизтоплива в ПАЗС предусмотрен островок под навесом, который оборудован одной системой автоматизированного налива типа 2АСН-15В1 НОРД с </w:t>
      </w:r>
      <w:proofErr w:type="gramStart"/>
      <w:r>
        <w:t>двумя  насосными</w:t>
      </w:r>
      <w:proofErr w:type="gramEnd"/>
      <w:r>
        <w:t xml:space="preserve"> блоками КМС  100-80-180-Е (Q=65м3/ч, Н=32м, N=15кВт) и двумя наливными стояками, обеспечивающими герметизированный налив топлива в автоцистерны через верхний люк и его учет. Для безопасного налива дизтоплива в автоцистерны предусмотрены их заземление. Колонки установлены на бетонных островках под общим навесом.</w:t>
      </w:r>
    </w:p>
    <w:p w14:paraId="5C5C8DC5" w14:textId="77777777" w:rsidR="002A7391" w:rsidRDefault="002A7391" w:rsidP="002A7391"/>
    <w:p w14:paraId="65B797F4" w14:textId="77777777" w:rsidR="002A7391" w:rsidRPr="001C6140" w:rsidRDefault="002A7391" w:rsidP="002A7391">
      <w:pPr>
        <w:jc w:val="center"/>
        <w:rPr>
          <w:b/>
          <w:u w:val="single"/>
        </w:rPr>
      </w:pPr>
      <w:r w:rsidRPr="001C6140">
        <w:rPr>
          <w:b/>
          <w:u w:val="single"/>
        </w:rPr>
        <w:t>Колодец для слива топлива.</w:t>
      </w:r>
    </w:p>
    <w:p w14:paraId="4F4D603A" w14:textId="77777777" w:rsidR="002A7391" w:rsidRDefault="002A7391" w:rsidP="002A7391">
      <w:r>
        <w:t>В состав колодца для слива нефтепродуктов из автоцистерн входят следующие сооружения:</w:t>
      </w:r>
    </w:p>
    <w:p w14:paraId="6671832F" w14:textId="77777777" w:rsidR="002A7391" w:rsidRDefault="002A7391" w:rsidP="002A7391">
      <w:r>
        <w:t>-</w:t>
      </w:r>
      <w:r>
        <w:tab/>
        <w:t>металлический короб, в котором на бетонированном основании размещены сливные приборы. В коробе размещены:</w:t>
      </w:r>
    </w:p>
    <w:p w14:paraId="2BC2946B" w14:textId="77777777" w:rsidR="002A7391" w:rsidRDefault="002A7391" w:rsidP="002A7391">
      <w:r>
        <w:t>-</w:t>
      </w:r>
      <w:r>
        <w:tab/>
        <w:t>пять сливных прибора, состоящих из муфты герметизированного слива для приема топлива из автоцистерн в резервуары;</w:t>
      </w:r>
    </w:p>
    <w:p w14:paraId="62C48763" w14:textId="77777777" w:rsidR="002A7391" w:rsidRDefault="002A7391" w:rsidP="002A7391">
      <w:r>
        <w:t xml:space="preserve">-трубопровод </w:t>
      </w:r>
      <w:proofErr w:type="spellStart"/>
      <w:r>
        <w:t>газоуравнительной</w:t>
      </w:r>
      <w:proofErr w:type="spellEnd"/>
      <w:r>
        <w:t xml:space="preserve"> системы, оборудованные резинотканевыми рукавами, шаровыми кранами и огневыми предохранителями ОП-50.</w:t>
      </w:r>
    </w:p>
    <w:p w14:paraId="288ADBD9" w14:textId="77777777" w:rsidR="002A7391" w:rsidRDefault="002A7391" w:rsidP="002A7391">
      <w:r>
        <w:t>На</w:t>
      </w:r>
      <w:r>
        <w:tab/>
        <w:t>крышке</w:t>
      </w:r>
      <w:r>
        <w:tab/>
        <w:t>горловины</w:t>
      </w:r>
      <w:r>
        <w:tab/>
        <w:t>автоцистерны</w:t>
      </w:r>
      <w:r>
        <w:tab/>
        <w:t>имеется</w:t>
      </w:r>
      <w:r>
        <w:tab/>
        <w:t>штуцер,</w:t>
      </w:r>
      <w:r>
        <w:tab/>
        <w:t>к которому</w:t>
      </w:r>
      <w:r>
        <w:tab/>
        <w:t>подсоединяется</w:t>
      </w:r>
      <w:r>
        <w:tab/>
        <w:t xml:space="preserve">трубопровод </w:t>
      </w:r>
      <w:proofErr w:type="spellStart"/>
      <w:r>
        <w:t>газоуравнительной</w:t>
      </w:r>
      <w:proofErr w:type="spellEnd"/>
      <w:r>
        <w:t xml:space="preserve"> системы с помощью резинотканевого рукава.</w:t>
      </w:r>
    </w:p>
    <w:p w14:paraId="7220E979" w14:textId="77777777" w:rsidR="002A7391" w:rsidRDefault="002A7391" w:rsidP="002A7391"/>
    <w:p w14:paraId="73A9B865" w14:textId="77777777" w:rsidR="002A7391" w:rsidRPr="001C6140" w:rsidRDefault="002A7391" w:rsidP="002A7391">
      <w:pPr>
        <w:rPr>
          <w:u w:val="single"/>
        </w:rPr>
      </w:pPr>
      <w:r w:rsidRPr="001C6140">
        <w:rPr>
          <w:u w:val="single"/>
        </w:rPr>
        <w:t>Операторная</w:t>
      </w:r>
    </w:p>
    <w:p w14:paraId="5113FB31" w14:textId="77777777" w:rsidR="002A7391" w:rsidRDefault="002A7391" w:rsidP="002A7391">
      <w:r>
        <w:t>В</w:t>
      </w:r>
      <w:r>
        <w:tab/>
        <w:t>помещении</w:t>
      </w:r>
      <w:r>
        <w:tab/>
        <w:t>операторной</w:t>
      </w:r>
      <w:r>
        <w:tab/>
        <w:t>производится</w:t>
      </w:r>
      <w:r>
        <w:tab/>
        <w:t>управление производственными</w:t>
      </w:r>
      <w:r>
        <w:tab/>
        <w:t>процессами автозаправочной станции. В состав здания операторной входят следующие помещения:</w:t>
      </w:r>
    </w:p>
    <w:p w14:paraId="0698746D" w14:textId="77777777" w:rsidR="002A7391" w:rsidRDefault="002A7391" w:rsidP="002A7391">
      <w:r>
        <w:t>•</w:t>
      </w:r>
      <w:r>
        <w:tab/>
        <w:t>помещение сервисного обслуживания водителей;</w:t>
      </w:r>
    </w:p>
    <w:p w14:paraId="21B7231C" w14:textId="77777777" w:rsidR="002A7391" w:rsidRDefault="002A7391" w:rsidP="002A7391">
      <w:r>
        <w:t>•</w:t>
      </w:r>
      <w:r>
        <w:tab/>
        <w:t>помещение для заправщиков;</w:t>
      </w:r>
    </w:p>
    <w:p w14:paraId="09CAB4C7" w14:textId="77777777" w:rsidR="002A7391" w:rsidRDefault="002A7391" w:rsidP="002A7391">
      <w:r>
        <w:t>•</w:t>
      </w:r>
      <w:r>
        <w:tab/>
        <w:t>помещение уборочного инвентаря;</w:t>
      </w:r>
    </w:p>
    <w:p w14:paraId="4085F455" w14:textId="77777777" w:rsidR="002A7391" w:rsidRDefault="002A7391" w:rsidP="002A7391">
      <w:r>
        <w:lastRenderedPageBreak/>
        <w:t>•</w:t>
      </w:r>
      <w:r>
        <w:tab/>
      </w:r>
      <w:proofErr w:type="spellStart"/>
      <w:r>
        <w:t>электрокотельная</w:t>
      </w:r>
      <w:proofErr w:type="spellEnd"/>
      <w:r>
        <w:t>;</w:t>
      </w:r>
    </w:p>
    <w:p w14:paraId="6DFB4A00" w14:textId="77777777" w:rsidR="002A7391" w:rsidRDefault="002A7391" w:rsidP="002A7391">
      <w:r>
        <w:t>•</w:t>
      </w:r>
      <w:r>
        <w:tab/>
      </w:r>
      <w:proofErr w:type="spellStart"/>
      <w:r>
        <w:t>электрощитовая</w:t>
      </w:r>
      <w:proofErr w:type="spellEnd"/>
      <w:r>
        <w:t>;</w:t>
      </w:r>
    </w:p>
    <w:p w14:paraId="5C52DC22" w14:textId="77777777" w:rsidR="002A7391" w:rsidRDefault="002A7391" w:rsidP="002A7391">
      <w:r>
        <w:t>•</w:t>
      </w:r>
      <w:r>
        <w:tab/>
        <w:t>служебное помещение персонала;</w:t>
      </w:r>
    </w:p>
    <w:p w14:paraId="71D3E12F" w14:textId="77777777" w:rsidR="002A7391" w:rsidRDefault="002A7391" w:rsidP="002A7391">
      <w:r>
        <w:t>•</w:t>
      </w:r>
      <w:r>
        <w:tab/>
        <w:t>санузлы.</w:t>
      </w:r>
    </w:p>
    <w:p w14:paraId="6872CA4C" w14:textId="77777777" w:rsidR="002A7391" w:rsidRDefault="002A7391" w:rsidP="002A7391"/>
    <w:p w14:paraId="16C7BA20" w14:textId="77777777" w:rsidR="002A7391" w:rsidRDefault="002A7391" w:rsidP="002A7391"/>
    <w:p w14:paraId="073C226A" w14:textId="77777777" w:rsidR="002A7391" w:rsidRPr="001C6140" w:rsidRDefault="002A7391" w:rsidP="002A7391">
      <w:pPr>
        <w:jc w:val="center"/>
        <w:rPr>
          <w:b/>
          <w:u w:val="single"/>
        </w:rPr>
      </w:pPr>
      <w:r w:rsidRPr="001C6140">
        <w:rPr>
          <w:b/>
          <w:u w:val="single"/>
        </w:rPr>
        <w:t>Технологические трубопроводы</w:t>
      </w:r>
    </w:p>
    <w:p w14:paraId="2900E63F" w14:textId="77777777" w:rsidR="002A7391" w:rsidRDefault="002A7391" w:rsidP="002A7391">
      <w:r>
        <w:t>Технологические трубопроводы приняты стальные и пластиковые.</w:t>
      </w:r>
    </w:p>
    <w:p w14:paraId="228DB908" w14:textId="77777777" w:rsidR="002A7391" w:rsidRDefault="002A7391" w:rsidP="002A7391">
      <w:r>
        <w:t>Согласно «Требованиям промышленной безопасности при эксплуатации технологических трубопроводов», утв. приказом Министра по ЧС РК от 27 июля 2009г. №176, проектируемая сеть технологических трубопроводов относится к группе Б и категории III.</w:t>
      </w:r>
    </w:p>
    <w:p w14:paraId="32003FF3" w14:textId="77777777" w:rsidR="002A7391" w:rsidRDefault="002A7391" w:rsidP="002A7391">
      <w:r>
        <w:t>Стальные трубопроводы приняты по ГОСТ 10704-91 и обеспечивают выполнение следующих операций:</w:t>
      </w:r>
    </w:p>
    <w:p w14:paraId="4EA21129" w14:textId="77777777" w:rsidR="002A7391" w:rsidRDefault="002A7391" w:rsidP="002A7391">
      <w:r>
        <w:t>-</w:t>
      </w:r>
      <w:r>
        <w:tab/>
        <w:t>прием топлива из автоцистерны в резервуары хранения;</w:t>
      </w:r>
    </w:p>
    <w:p w14:paraId="3A794177" w14:textId="77777777" w:rsidR="002A7391" w:rsidRDefault="002A7391" w:rsidP="002A7391">
      <w:r>
        <w:t>-</w:t>
      </w:r>
      <w:r>
        <w:tab/>
      </w:r>
      <w:proofErr w:type="spellStart"/>
      <w:r>
        <w:t>переток</w:t>
      </w:r>
      <w:proofErr w:type="spellEnd"/>
      <w:r>
        <w:t xml:space="preserve"> паров бензина из одного резервуара в другой резервуар или в сливаемую автоцистерну;</w:t>
      </w:r>
    </w:p>
    <w:p w14:paraId="58D13777" w14:textId="77777777" w:rsidR="002A7391" w:rsidRDefault="002A7391" w:rsidP="002A7391">
      <w:r>
        <w:t>-</w:t>
      </w:r>
      <w:r>
        <w:tab/>
        <w:t>сброс газовой фазы в атмосферу через дыхательные стояки с клапанами марки СМДК при превышении допустимого избыточного давления в резервуарах.</w:t>
      </w:r>
    </w:p>
    <w:p w14:paraId="6D49A3C6" w14:textId="77777777" w:rsidR="002A7391" w:rsidRDefault="002A7391" w:rsidP="002A7391">
      <w:r>
        <w:t>Насосная подача топлива из резервуаров хранения к топливораздаточным колонкам осуществляется по пластиковым трубопроводам.</w:t>
      </w:r>
    </w:p>
    <w:p w14:paraId="3D1CD113" w14:textId="77777777" w:rsidR="002A7391" w:rsidRDefault="002A7391" w:rsidP="002A7391">
      <w:r>
        <w:t>Напорные трубопроводы от резервуаров до топливораздаточных колонок укладываются в траншее на песчаной подушке с последующей засыпкой сухим песком. Прокладываются трубопроводы с уклоном в сторону резервуаров.</w:t>
      </w:r>
    </w:p>
    <w:p w14:paraId="158DA058" w14:textId="77777777" w:rsidR="002A7391" w:rsidRDefault="002A7391" w:rsidP="002A7391">
      <w:r>
        <w:t>Надземные</w:t>
      </w:r>
      <w:r>
        <w:tab/>
        <w:t>участки</w:t>
      </w:r>
      <w:r>
        <w:tab/>
        <w:t>стальных</w:t>
      </w:r>
      <w:r>
        <w:tab/>
        <w:t>трубопроводов</w:t>
      </w:r>
      <w:r>
        <w:tab/>
        <w:t>и</w:t>
      </w:r>
      <w:r>
        <w:tab/>
        <w:t>арматура защищаются</w:t>
      </w:r>
      <w:r>
        <w:tab/>
        <w:t>от</w:t>
      </w:r>
      <w:r>
        <w:tab/>
        <w:t>атмосферной</w:t>
      </w:r>
      <w:r>
        <w:tab/>
        <w:t>коррозии лакокрасочными покрытиями, наносимыми на очищенную от ржавчины и окалины обезжиренную поверхность.</w:t>
      </w:r>
    </w:p>
    <w:p w14:paraId="754D0CA8" w14:textId="77777777" w:rsidR="002A7391" w:rsidRDefault="002A7391" w:rsidP="002A7391">
      <w:r>
        <w:t>Защита подземных стальных трубопроводов от коррозии осуществляется согласно ГОСТ 9.602-2016 изоляцией усиленного типа следующего состава: битумная грунтовка, битумно-резиновая мастика толщиной 1мм в 3 слоя с армирующей обмоткой из стеклохолста между ними, наружная обмотка в 1 слой.</w:t>
      </w:r>
    </w:p>
    <w:p w14:paraId="27EB8E2E" w14:textId="77777777" w:rsidR="002A7391" w:rsidRDefault="002A7391" w:rsidP="002A7391">
      <w:proofErr w:type="gramStart"/>
      <w:r>
        <w:t>Изготовление,  монтаж</w:t>
      </w:r>
      <w:proofErr w:type="gramEnd"/>
      <w:r>
        <w:t>,  испытание  и  очистку  внутренней  поверхности  технологических  трубопроводов произвести  согласно  СП  РК  3.05-103-2014  «Технологическое  оборудование  и  технологические  трубопроводы»  «Требованиям промышленной безопасности при эксплуатации технологических трубопроводов».</w:t>
      </w:r>
    </w:p>
    <w:p w14:paraId="12BA4C03" w14:textId="77777777" w:rsidR="002A7391" w:rsidRDefault="002A7391" w:rsidP="002A7391">
      <w:r>
        <w:t>Величину испытательного давления (гидравлического или пневматического) следует принимать:</w:t>
      </w:r>
    </w:p>
    <w:p w14:paraId="1002C5A4" w14:textId="77777777" w:rsidR="002A7391" w:rsidRDefault="002A7391" w:rsidP="002A7391">
      <w:r>
        <w:lastRenderedPageBreak/>
        <w:t>- для стальных трубопроводов 1.5Р, но не менее 0.2(2) МПа (кгс/см2);</w:t>
      </w:r>
    </w:p>
    <w:p w14:paraId="5564E10B" w14:textId="77777777" w:rsidR="002A7391" w:rsidRDefault="002A7391" w:rsidP="002A7391">
      <w:r>
        <w:t xml:space="preserve"> - для пластиковых трубопроводов 1.25Р, но не менее 0.2(2) Мпа(кгс/см2).</w:t>
      </w:r>
    </w:p>
    <w:p w14:paraId="1A1A533E" w14:textId="77777777" w:rsidR="002A7391" w:rsidRDefault="002A7391" w:rsidP="002A7391">
      <w:r>
        <w:t>Согласно СП РК 3.05-103-2014 сварные швы стальных трубопроводов подвергают контролю неразрушающими методами (внешний осмотр, контроль просвечиванием, ультразвуком, магнитографический контроль).</w:t>
      </w:r>
    </w:p>
    <w:p w14:paraId="7EF828BE" w14:textId="77777777" w:rsidR="002A7391" w:rsidRDefault="002A7391" w:rsidP="002A7391">
      <w:r>
        <w:t xml:space="preserve">Минимальное число стыков, </w:t>
      </w:r>
      <w:proofErr w:type="gramStart"/>
      <w:r>
        <w:t>подвергающихся  контролю</w:t>
      </w:r>
      <w:proofErr w:type="gramEnd"/>
      <w:r>
        <w:t xml:space="preserve">  проникающим  излучением  или  ультразвуковой дефектоскопией составляет 2%. Испытания резервуаров на прочность производятся согласно СНиП РК 5.04-18-2002.</w:t>
      </w:r>
    </w:p>
    <w:p w14:paraId="113FFC35" w14:textId="77777777" w:rsidR="002A7391" w:rsidRDefault="002A7391" w:rsidP="002A7391">
      <w:r>
        <w:t>Резервуары в проектном положении при заглушенных люках и патрубках испытываются на прочность наливом воды под давлением 0.05 МПа. Резервуары выдерживаются под давлением 5 минут.</w:t>
      </w:r>
    </w:p>
    <w:p w14:paraId="5EBB4868" w14:textId="77777777" w:rsidR="002A7391" w:rsidRDefault="002A7391" w:rsidP="002A7391">
      <w:r>
        <w:t xml:space="preserve">Допускается пневматическое испытание на прочность при давлении </w:t>
      </w:r>
      <w:proofErr w:type="gramStart"/>
      <w:r>
        <w:t>МПа  (</w:t>
      </w:r>
      <w:proofErr w:type="gramEnd"/>
      <w:r>
        <w:t>0.4кгс/см2)  при  наличии  специального  оборудования  и  с  учетом  особых  мер  безопасности  с обязательным применением манометров.</w:t>
      </w:r>
    </w:p>
    <w:p w14:paraId="51D59EBD" w14:textId="77777777" w:rsidR="002A7391" w:rsidRDefault="002A7391" w:rsidP="002A7391">
      <w:r>
        <w:t>Монтаж, эксплуатация и техническое обслуживание технологического оборудования должны осуществляться согласно паспортов, технических описаний и инструкций по эксплуатации.</w:t>
      </w:r>
    </w:p>
    <w:p w14:paraId="0B379427" w14:textId="77777777" w:rsidR="002A7391" w:rsidRDefault="002A7391" w:rsidP="002A7391">
      <w:r>
        <w:t>При соблюдении требований к эксплуатации автозаправочной станции, её территории, зданиям, сооружениям и оборудованию, инженерным коммуникациям, порядку приема, хранения, выдачи и учета нефтепродуктов, метрологическому обеспечению, экологической и пожарной безопасности, охране труда, обслуживающему персоналу и его профессиональной подготовке среднестатистический срок службы стационарной АЗС составляет 20 лет. Согласно данным технических паспортов срок службы должен быть не менее: резервуаров горизонтальных - 10лет, для топливораздаточных колонок – 5 - 8 лет, для насосов - 12 лет.</w:t>
      </w:r>
    </w:p>
    <w:p w14:paraId="03954793" w14:textId="77777777" w:rsidR="002A7391" w:rsidRPr="00A44A78" w:rsidRDefault="002A7391" w:rsidP="002A7391">
      <w:pPr>
        <w:rPr>
          <w:b/>
        </w:rPr>
      </w:pPr>
      <w:r w:rsidRPr="00A44A78">
        <w:rPr>
          <w:b/>
        </w:rPr>
        <w:t>Информация по отходам производства и потребления</w:t>
      </w:r>
    </w:p>
    <w:tbl>
      <w:tblPr>
        <w:tblStyle w:val="10"/>
        <w:tblW w:w="5000" w:type="pct"/>
        <w:tblLook w:val="04A0" w:firstRow="1" w:lastRow="0" w:firstColumn="1" w:lastColumn="0" w:noHBand="0" w:noVBand="1"/>
      </w:tblPr>
      <w:tblGrid>
        <w:gridCol w:w="3191"/>
        <w:gridCol w:w="3191"/>
        <w:gridCol w:w="3189"/>
      </w:tblGrid>
      <w:tr w:rsidR="002A7391" w14:paraId="762B08BC" w14:textId="77777777" w:rsidTr="00CA587B">
        <w:trPr>
          <w:tblHeader/>
        </w:trPr>
        <w:tc>
          <w:tcPr>
            <w:tcW w:w="1667" w:type="pct"/>
            <w:tcBorders>
              <w:top w:val="single" w:sz="4" w:space="0" w:color="auto"/>
              <w:left w:val="single" w:sz="4" w:space="0" w:color="auto"/>
              <w:bottom w:val="single" w:sz="4" w:space="0" w:color="auto"/>
              <w:right w:val="single" w:sz="4" w:space="0" w:color="auto"/>
            </w:tcBorders>
            <w:vAlign w:val="center"/>
            <w:hideMark/>
          </w:tcPr>
          <w:p w14:paraId="10E79491" w14:textId="77777777" w:rsidR="002A7391" w:rsidRDefault="002A7391" w:rsidP="00CA587B">
            <w:pPr>
              <w:jc w:val="center"/>
              <w:rPr>
                <w:rFonts w:cs="Arial"/>
                <w:b/>
                <w:sz w:val="24"/>
                <w:szCs w:val="24"/>
              </w:rPr>
            </w:pPr>
            <w:r>
              <w:rPr>
                <w:rFonts w:cs="Arial"/>
                <w:b/>
                <w:sz w:val="24"/>
                <w:szCs w:val="24"/>
              </w:rPr>
              <w:t>Вид отхода</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F3B4111" w14:textId="77777777" w:rsidR="002A7391" w:rsidRDefault="002A7391" w:rsidP="00CA587B">
            <w:pPr>
              <w:jc w:val="center"/>
              <w:rPr>
                <w:rFonts w:cs="Arial"/>
                <w:b/>
                <w:sz w:val="24"/>
                <w:szCs w:val="24"/>
              </w:rPr>
            </w:pPr>
            <w:r>
              <w:rPr>
                <w:rFonts w:cs="Arial"/>
                <w:b/>
                <w:sz w:val="24"/>
                <w:szCs w:val="24"/>
              </w:rPr>
              <w:t>Код отхода в соответствии с классификатором отходов</w:t>
            </w:r>
          </w:p>
        </w:tc>
        <w:tc>
          <w:tcPr>
            <w:tcW w:w="1666" w:type="pct"/>
            <w:tcBorders>
              <w:top w:val="single" w:sz="4" w:space="0" w:color="auto"/>
              <w:left w:val="single" w:sz="4" w:space="0" w:color="auto"/>
              <w:bottom w:val="single" w:sz="4" w:space="0" w:color="auto"/>
              <w:right w:val="single" w:sz="4" w:space="0" w:color="auto"/>
            </w:tcBorders>
            <w:vAlign w:val="center"/>
            <w:hideMark/>
          </w:tcPr>
          <w:p w14:paraId="3F3BDA1B" w14:textId="77777777" w:rsidR="002A7391" w:rsidRDefault="002A7391" w:rsidP="00CA587B">
            <w:pPr>
              <w:jc w:val="center"/>
              <w:rPr>
                <w:rFonts w:cs="Arial"/>
                <w:b/>
                <w:sz w:val="24"/>
                <w:szCs w:val="24"/>
              </w:rPr>
            </w:pPr>
            <w:r>
              <w:rPr>
                <w:rFonts w:cs="Arial"/>
                <w:b/>
                <w:sz w:val="24"/>
                <w:szCs w:val="24"/>
              </w:rPr>
              <w:t>Вид операции, которому подвергается отход</w:t>
            </w:r>
          </w:p>
        </w:tc>
      </w:tr>
      <w:tr w:rsidR="002A7391" w14:paraId="0F08468E" w14:textId="77777777" w:rsidTr="00CA587B">
        <w:tc>
          <w:tcPr>
            <w:tcW w:w="1667" w:type="pct"/>
            <w:tcBorders>
              <w:top w:val="single" w:sz="4" w:space="0" w:color="auto"/>
              <w:left w:val="single" w:sz="4" w:space="0" w:color="auto"/>
              <w:bottom w:val="single" w:sz="4" w:space="0" w:color="auto"/>
              <w:right w:val="single" w:sz="4" w:space="0" w:color="auto"/>
            </w:tcBorders>
            <w:vAlign w:val="center"/>
            <w:hideMark/>
          </w:tcPr>
          <w:p w14:paraId="6BFB06B6" w14:textId="77777777" w:rsidR="002A7391" w:rsidRDefault="002A7391" w:rsidP="00CA587B">
            <w:pPr>
              <w:jc w:val="center"/>
              <w:rPr>
                <w:rFonts w:cs="Arial"/>
                <w:sz w:val="24"/>
                <w:szCs w:val="24"/>
                <w:lang w:val="kk-KZ"/>
              </w:rPr>
            </w:pPr>
            <w:r>
              <w:rPr>
                <w:rFonts w:cs="Arial"/>
                <w:sz w:val="24"/>
                <w:szCs w:val="24"/>
                <w:lang w:val="kk-KZ"/>
              </w:rPr>
              <w:t>Шламы</w:t>
            </w:r>
          </w:p>
        </w:tc>
        <w:tc>
          <w:tcPr>
            <w:tcW w:w="1667" w:type="pct"/>
            <w:tcBorders>
              <w:top w:val="single" w:sz="4" w:space="0" w:color="auto"/>
              <w:left w:val="single" w:sz="4" w:space="0" w:color="auto"/>
              <w:bottom w:val="single" w:sz="4" w:space="0" w:color="auto"/>
              <w:right w:val="single" w:sz="4" w:space="0" w:color="auto"/>
            </w:tcBorders>
            <w:vAlign w:val="center"/>
            <w:hideMark/>
          </w:tcPr>
          <w:p w14:paraId="183D5C0C" w14:textId="77777777" w:rsidR="002A7391" w:rsidRDefault="002A7391" w:rsidP="00CA587B">
            <w:pPr>
              <w:jc w:val="center"/>
              <w:rPr>
                <w:rFonts w:cs="Arial"/>
                <w:sz w:val="24"/>
                <w:szCs w:val="24"/>
              </w:rPr>
            </w:pPr>
            <w:r>
              <w:rPr>
                <w:rFonts w:cs="Arial"/>
                <w:sz w:val="24"/>
                <w:szCs w:val="24"/>
                <w:lang w:val="kk-KZ"/>
              </w:rPr>
              <w:t>19 08 13*</w:t>
            </w:r>
          </w:p>
        </w:tc>
        <w:tc>
          <w:tcPr>
            <w:tcW w:w="1666" w:type="pct"/>
            <w:tcBorders>
              <w:top w:val="single" w:sz="4" w:space="0" w:color="auto"/>
              <w:left w:val="single" w:sz="4" w:space="0" w:color="auto"/>
              <w:bottom w:val="single" w:sz="4" w:space="0" w:color="auto"/>
              <w:right w:val="single" w:sz="4" w:space="0" w:color="auto"/>
            </w:tcBorders>
            <w:hideMark/>
          </w:tcPr>
          <w:p w14:paraId="0500E971" w14:textId="77777777" w:rsidR="002A7391" w:rsidRDefault="002A7391" w:rsidP="00CA587B">
            <w:pPr>
              <w:jc w:val="center"/>
              <w:rPr>
                <w:rFonts w:cs="Arial"/>
                <w:sz w:val="24"/>
                <w:szCs w:val="24"/>
              </w:rPr>
            </w:pPr>
            <w:r w:rsidRPr="00F75F6D">
              <w:rPr>
                <w:rFonts w:cs="Arial"/>
                <w:sz w:val="24"/>
                <w:szCs w:val="24"/>
              </w:rPr>
              <w:t>Передача специализированн</w:t>
            </w:r>
            <w:r>
              <w:rPr>
                <w:rFonts w:cs="Arial"/>
                <w:sz w:val="24"/>
                <w:szCs w:val="24"/>
              </w:rPr>
              <w:t>ой</w:t>
            </w:r>
            <w:r w:rsidRPr="00F75F6D">
              <w:rPr>
                <w:rFonts w:cs="Arial"/>
                <w:sz w:val="24"/>
                <w:szCs w:val="24"/>
              </w:rPr>
              <w:t xml:space="preserve"> организаци</w:t>
            </w:r>
            <w:r>
              <w:rPr>
                <w:rFonts w:cs="Arial"/>
                <w:sz w:val="24"/>
                <w:szCs w:val="24"/>
              </w:rPr>
              <w:t>и</w:t>
            </w:r>
            <w:r w:rsidRPr="00F75F6D">
              <w:rPr>
                <w:rFonts w:cs="Arial"/>
                <w:sz w:val="24"/>
                <w:szCs w:val="24"/>
              </w:rPr>
              <w:t xml:space="preserve"> на основании договора</w:t>
            </w:r>
          </w:p>
        </w:tc>
      </w:tr>
      <w:tr w:rsidR="002A7391" w14:paraId="4113151E" w14:textId="77777777" w:rsidTr="00CA587B">
        <w:tc>
          <w:tcPr>
            <w:tcW w:w="1667" w:type="pct"/>
            <w:tcBorders>
              <w:top w:val="single" w:sz="4" w:space="0" w:color="auto"/>
              <w:left w:val="single" w:sz="4" w:space="0" w:color="auto"/>
              <w:bottom w:val="single" w:sz="4" w:space="0" w:color="auto"/>
              <w:right w:val="single" w:sz="4" w:space="0" w:color="auto"/>
            </w:tcBorders>
            <w:vAlign w:val="center"/>
          </w:tcPr>
          <w:p w14:paraId="4B877965" w14:textId="77777777" w:rsidR="002A7391" w:rsidRDefault="002A7391" w:rsidP="00CA587B">
            <w:pPr>
              <w:jc w:val="center"/>
              <w:rPr>
                <w:rFonts w:cs="Arial"/>
                <w:sz w:val="24"/>
                <w:szCs w:val="24"/>
                <w:lang w:val="kk-KZ"/>
              </w:rPr>
            </w:pPr>
            <w:r>
              <w:rPr>
                <w:rFonts w:cs="Arial"/>
                <w:sz w:val="24"/>
                <w:szCs w:val="24"/>
                <w:lang w:val="kk-KZ"/>
              </w:rPr>
              <w:t>Нефтешлам</w:t>
            </w:r>
          </w:p>
        </w:tc>
        <w:tc>
          <w:tcPr>
            <w:tcW w:w="1667" w:type="pct"/>
            <w:tcBorders>
              <w:top w:val="single" w:sz="4" w:space="0" w:color="auto"/>
              <w:left w:val="single" w:sz="4" w:space="0" w:color="auto"/>
              <w:bottom w:val="single" w:sz="4" w:space="0" w:color="auto"/>
              <w:right w:val="single" w:sz="4" w:space="0" w:color="auto"/>
            </w:tcBorders>
            <w:vAlign w:val="center"/>
          </w:tcPr>
          <w:p w14:paraId="2749004B" w14:textId="77777777" w:rsidR="002A7391" w:rsidRDefault="002A7391" w:rsidP="00CA587B">
            <w:pPr>
              <w:jc w:val="center"/>
              <w:rPr>
                <w:rFonts w:cs="Arial"/>
                <w:sz w:val="24"/>
                <w:szCs w:val="24"/>
                <w:lang w:val="kk-KZ"/>
              </w:rPr>
            </w:pPr>
            <w:r w:rsidRPr="000D21A5">
              <w:rPr>
                <w:rFonts w:cs="Arial"/>
                <w:sz w:val="24"/>
                <w:szCs w:val="24"/>
                <w:lang w:val="kk-KZ"/>
              </w:rPr>
              <w:t xml:space="preserve"> 0</w:t>
            </w:r>
            <w:r>
              <w:rPr>
                <w:rFonts w:cs="Arial"/>
                <w:sz w:val="24"/>
                <w:szCs w:val="24"/>
                <w:lang w:val="kk-KZ"/>
              </w:rPr>
              <w:t>5</w:t>
            </w:r>
            <w:r w:rsidRPr="000D21A5">
              <w:rPr>
                <w:rFonts w:cs="Arial"/>
                <w:sz w:val="24"/>
                <w:szCs w:val="24"/>
                <w:lang w:val="kk-KZ"/>
              </w:rPr>
              <w:t xml:space="preserve"> 0</w:t>
            </w:r>
            <w:r>
              <w:rPr>
                <w:rFonts w:cs="Arial"/>
                <w:sz w:val="24"/>
                <w:szCs w:val="24"/>
                <w:lang w:val="kk-KZ"/>
              </w:rPr>
              <w:t>1</w:t>
            </w:r>
            <w:r w:rsidRPr="000D21A5">
              <w:rPr>
                <w:rFonts w:cs="Arial"/>
                <w:sz w:val="24"/>
                <w:szCs w:val="24"/>
                <w:lang w:val="kk-KZ"/>
              </w:rPr>
              <w:t xml:space="preserve"> 0</w:t>
            </w:r>
            <w:r>
              <w:rPr>
                <w:rFonts w:cs="Arial"/>
                <w:sz w:val="24"/>
                <w:szCs w:val="24"/>
                <w:lang w:val="kk-KZ"/>
              </w:rPr>
              <w:t>3</w:t>
            </w:r>
            <w:r w:rsidRPr="000D21A5">
              <w:rPr>
                <w:rFonts w:cs="Arial"/>
                <w:sz w:val="24"/>
                <w:szCs w:val="24"/>
                <w:lang w:val="kk-KZ"/>
              </w:rPr>
              <w:t xml:space="preserve">*  </w:t>
            </w:r>
          </w:p>
        </w:tc>
        <w:tc>
          <w:tcPr>
            <w:tcW w:w="1666" w:type="pct"/>
            <w:tcBorders>
              <w:top w:val="single" w:sz="4" w:space="0" w:color="auto"/>
              <w:left w:val="single" w:sz="4" w:space="0" w:color="auto"/>
              <w:bottom w:val="single" w:sz="4" w:space="0" w:color="auto"/>
              <w:right w:val="single" w:sz="4" w:space="0" w:color="auto"/>
            </w:tcBorders>
          </w:tcPr>
          <w:p w14:paraId="369D069A" w14:textId="77777777" w:rsidR="002A7391" w:rsidRDefault="002A7391" w:rsidP="00CA587B">
            <w:pPr>
              <w:jc w:val="center"/>
              <w:rPr>
                <w:rFonts w:cs="Arial"/>
                <w:sz w:val="24"/>
                <w:szCs w:val="24"/>
              </w:rPr>
            </w:pPr>
            <w:r w:rsidRPr="00F75F6D">
              <w:rPr>
                <w:rFonts w:cs="Arial"/>
                <w:sz w:val="24"/>
                <w:szCs w:val="24"/>
              </w:rPr>
              <w:t>Передача  специализированн</w:t>
            </w:r>
            <w:r>
              <w:rPr>
                <w:rFonts w:cs="Arial"/>
                <w:sz w:val="24"/>
                <w:szCs w:val="24"/>
              </w:rPr>
              <w:t>ой</w:t>
            </w:r>
            <w:r w:rsidRPr="00F75F6D">
              <w:rPr>
                <w:rFonts w:cs="Arial"/>
                <w:sz w:val="24"/>
                <w:szCs w:val="24"/>
              </w:rPr>
              <w:t xml:space="preserve"> организаци</w:t>
            </w:r>
            <w:r>
              <w:rPr>
                <w:rFonts w:cs="Arial"/>
                <w:sz w:val="24"/>
                <w:szCs w:val="24"/>
              </w:rPr>
              <w:t>и</w:t>
            </w:r>
            <w:r w:rsidRPr="00F75F6D">
              <w:rPr>
                <w:rFonts w:cs="Arial"/>
                <w:sz w:val="24"/>
                <w:szCs w:val="24"/>
              </w:rPr>
              <w:t xml:space="preserve"> на основании договора</w:t>
            </w:r>
          </w:p>
        </w:tc>
      </w:tr>
    </w:tbl>
    <w:p w14:paraId="47C6C320" w14:textId="141DEB34" w:rsidR="009618E0" w:rsidRDefault="009618E0" w:rsidP="00E96791">
      <w:pPr>
        <w:jc w:val="both"/>
        <w:rPr>
          <w:rFonts w:ascii="Times New Roman" w:hAnsi="Times New Roman" w:cs="Times New Roman"/>
          <w:color w:val="EE0000"/>
        </w:rPr>
      </w:pPr>
    </w:p>
    <w:p w14:paraId="5AD4F26B" w14:textId="3664EC7B" w:rsidR="002A7391" w:rsidRDefault="002A7391" w:rsidP="00E96791">
      <w:pPr>
        <w:jc w:val="both"/>
        <w:rPr>
          <w:rFonts w:ascii="Times New Roman" w:hAnsi="Times New Roman" w:cs="Times New Roman"/>
          <w:color w:val="EE0000"/>
        </w:rPr>
      </w:pPr>
    </w:p>
    <w:p w14:paraId="75A43D4B" w14:textId="77777777" w:rsidR="002A7391" w:rsidRDefault="002A7391" w:rsidP="002A7391">
      <w:r>
        <w:t>Описание ожидаемых выбросов загрязняющих веществ в атмосферу: при эксплуатации объекта на участке будут задействованы 5 источников загрязнения атмосферы (ИЗА), которые являются неорганизованными источниками загрязнения.  Ожидаемый объем выбросов загрязняющих веществ на период эксплуатации составит</w:t>
      </w:r>
      <w:r w:rsidRPr="00D10E4C">
        <w:t xml:space="preserve"> </w:t>
      </w:r>
      <w:r w:rsidRPr="00014116">
        <w:t>0.650279 г/сек и 0.12981 т/период.</w:t>
      </w:r>
    </w:p>
    <w:p w14:paraId="58D0FCF4" w14:textId="77777777" w:rsidR="002A7391" w:rsidRPr="00D85D70" w:rsidRDefault="002A7391" w:rsidP="00E96791">
      <w:pPr>
        <w:jc w:val="both"/>
        <w:rPr>
          <w:rFonts w:ascii="Times New Roman" w:hAnsi="Times New Roman" w:cs="Times New Roman"/>
          <w:color w:val="EE0000"/>
        </w:rPr>
      </w:pPr>
    </w:p>
    <w:sectPr w:rsidR="002A7391" w:rsidRPr="00D85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D78"/>
    <w:multiLevelType w:val="hybridMultilevel"/>
    <w:tmpl w:val="F8743A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49B580D"/>
    <w:multiLevelType w:val="hybridMultilevel"/>
    <w:tmpl w:val="C78614A4"/>
    <w:lvl w:ilvl="0" w:tplc="5CB86B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0FF1168"/>
    <w:multiLevelType w:val="hybridMultilevel"/>
    <w:tmpl w:val="04CC7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A452EC2"/>
    <w:multiLevelType w:val="hybridMultilevel"/>
    <w:tmpl w:val="255A5F62"/>
    <w:lvl w:ilvl="0" w:tplc="1442A726">
      <w:numFmt w:val="bullet"/>
      <w:lvlText w:val="-"/>
      <w:lvlJc w:val="left"/>
      <w:pPr>
        <w:ind w:left="1457" w:hanging="360"/>
      </w:pPr>
      <w:rPr>
        <w:rFonts w:hint="default"/>
        <w:b w:val="0"/>
        <w:bCs w:val="0"/>
        <w:i w:val="0"/>
        <w:iCs w:val="0"/>
        <w:sz w:val="20"/>
        <w:szCs w:val="20"/>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4" w15:restartNumberingAfterBreak="0">
    <w:nsid w:val="3D7B5AEB"/>
    <w:multiLevelType w:val="hybridMultilevel"/>
    <w:tmpl w:val="7188D028"/>
    <w:lvl w:ilvl="0" w:tplc="FFFFFFFF">
      <w:start w:val="1"/>
      <w:numFmt w:val="bullet"/>
      <w:lvlText w:val=""/>
      <w:lvlJc w:val="left"/>
      <w:pPr>
        <w:ind w:left="1097" w:hanging="360"/>
      </w:pPr>
      <w:rPr>
        <w:rFonts w:ascii="Symbol" w:hAnsi="Symbol" w:hint="default"/>
      </w:rPr>
    </w:lvl>
    <w:lvl w:ilvl="1" w:tplc="FFFFFFFF">
      <w:start w:val="1"/>
      <w:numFmt w:val="bullet"/>
      <w:lvlText w:val="o"/>
      <w:lvlJc w:val="left"/>
      <w:pPr>
        <w:ind w:left="1817" w:hanging="360"/>
      </w:pPr>
      <w:rPr>
        <w:rFonts w:ascii="Courier New" w:hAnsi="Courier New" w:cs="Courier New" w:hint="default"/>
      </w:rPr>
    </w:lvl>
    <w:lvl w:ilvl="2" w:tplc="FFFFFFFF">
      <w:start w:val="1"/>
      <w:numFmt w:val="bullet"/>
      <w:lvlText w:val=""/>
      <w:lvlJc w:val="left"/>
      <w:pPr>
        <w:ind w:left="2537" w:hanging="360"/>
      </w:pPr>
      <w:rPr>
        <w:rFonts w:ascii="Wingdings" w:hAnsi="Wingdings" w:hint="default"/>
      </w:rPr>
    </w:lvl>
    <w:lvl w:ilvl="3" w:tplc="FFFFFFFF">
      <w:start w:val="1"/>
      <w:numFmt w:val="bullet"/>
      <w:lvlText w:val=""/>
      <w:lvlJc w:val="left"/>
      <w:pPr>
        <w:ind w:left="3257" w:hanging="360"/>
      </w:pPr>
      <w:rPr>
        <w:rFonts w:ascii="Symbol" w:hAnsi="Symbol" w:hint="default"/>
      </w:rPr>
    </w:lvl>
    <w:lvl w:ilvl="4" w:tplc="FFFFFFFF">
      <w:start w:val="1"/>
      <w:numFmt w:val="bullet"/>
      <w:lvlText w:val="o"/>
      <w:lvlJc w:val="left"/>
      <w:pPr>
        <w:ind w:left="3977" w:hanging="360"/>
      </w:pPr>
      <w:rPr>
        <w:rFonts w:ascii="Courier New" w:hAnsi="Courier New" w:cs="Courier New" w:hint="default"/>
      </w:rPr>
    </w:lvl>
    <w:lvl w:ilvl="5" w:tplc="FFFFFFFF">
      <w:start w:val="1"/>
      <w:numFmt w:val="bullet"/>
      <w:lvlText w:val=""/>
      <w:lvlJc w:val="left"/>
      <w:pPr>
        <w:ind w:left="4697" w:hanging="360"/>
      </w:pPr>
      <w:rPr>
        <w:rFonts w:ascii="Wingdings" w:hAnsi="Wingdings" w:hint="default"/>
      </w:rPr>
    </w:lvl>
    <w:lvl w:ilvl="6" w:tplc="FFFFFFFF">
      <w:start w:val="1"/>
      <w:numFmt w:val="bullet"/>
      <w:lvlText w:val=""/>
      <w:lvlJc w:val="left"/>
      <w:pPr>
        <w:ind w:left="5417" w:hanging="360"/>
      </w:pPr>
      <w:rPr>
        <w:rFonts w:ascii="Symbol" w:hAnsi="Symbol" w:hint="default"/>
      </w:rPr>
    </w:lvl>
    <w:lvl w:ilvl="7" w:tplc="FFFFFFFF">
      <w:start w:val="1"/>
      <w:numFmt w:val="bullet"/>
      <w:lvlText w:val="o"/>
      <w:lvlJc w:val="left"/>
      <w:pPr>
        <w:ind w:left="6137" w:hanging="360"/>
      </w:pPr>
      <w:rPr>
        <w:rFonts w:ascii="Courier New" w:hAnsi="Courier New" w:cs="Courier New" w:hint="default"/>
      </w:rPr>
    </w:lvl>
    <w:lvl w:ilvl="8" w:tplc="FFFFFFFF">
      <w:start w:val="1"/>
      <w:numFmt w:val="bullet"/>
      <w:lvlText w:val=""/>
      <w:lvlJc w:val="left"/>
      <w:pPr>
        <w:ind w:left="6857" w:hanging="360"/>
      </w:pPr>
      <w:rPr>
        <w:rFonts w:ascii="Wingdings" w:hAnsi="Wingdings" w:hint="default"/>
      </w:rPr>
    </w:lvl>
  </w:abstractNum>
  <w:abstractNum w:abstractNumId="5" w15:restartNumberingAfterBreak="0">
    <w:nsid w:val="475B28F9"/>
    <w:multiLevelType w:val="hybridMultilevel"/>
    <w:tmpl w:val="312E04A2"/>
    <w:lvl w:ilvl="0" w:tplc="04190001">
      <w:start w:val="1"/>
      <w:numFmt w:val="bullet"/>
      <w:lvlText w:val=""/>
      <w:lvlJc w:val="left"/>
      <w:pPr>
        <w:ind w:left="1428" w:hanging="360"/>
      </w:pPr>
      <w:rPr>
        <w:rFonts w:ascii="Symbol" w:hAnsi="Symbol" w:hint="default"/>
        <w:sz w:val="12"/>
        <w:szCs w:val="20"/>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6B3354ED"/>
    <w:multiLevelType w:val="hybridMultilevel"/>
    <w:tmpl w:val="C10A2584"/>
    <w:lvl w:ilvl="0" w:tplc="B9C2E48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2"/>
  </w:num>
  <w:num w:numId="3">
    <w:abstractNumId w:val="3"/>
  </w:num>
  <w:num w:numId="4">
    <w:abstractNumId w:val="0"/>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498"/>
    <w:rsid w:val="00044FA5"/>
    <w:rsid w:val="002A7391"/>
    <w:rsid w:val="002D3A97"/>
    <w:rsid w:val="003F0B59"/>
    <w:rsid w:val="0041280F"/>
    <w:rsid w:val="00422498"/>
    <w:rsid w:val="0049759F"/>
    <w:rsid w:val="004D13A8"/>
    <w:rsid w:val="00911450"/>
    <w:rsid w:val="009618E0"/>
    <w:rsid w:val="00A67D3C"/>
    <w:rsid w:val="00BC5A46"/>
    <w:rsid w:val="00CD74D3"/>
    <w:rsid w:val="00D02DAD"/>
    <w:rsid w:val="00D85D70"/>
    <w:rsid w:val="00E96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9639B"/>
  <w15:docId w15:val="{1B632EE3-BB3E-401C-A0AF-6DB6633D8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618E0"/>
    <w:pPr>
      <w:spacing w:after="0" w:line="240" w:lineRule="auto"/>
    </w:pPr>
  </w:style>
  <w:style w:type="paragraph" w:styleId="a5">
    <w:name w:val="List Paragraph"/>
    <w:aliases w:val="Заголовок первого уровня,_список,Абзац,strich,2nd Tier Header,маркированный,Citation List,Таблицы,список,текст ГЕО,Nawa Bullets,CAFC Bullets,Beran Bullets,Bullet Points,Paragraph,Resume Title,List Paragraph Char Char,Bullet 1,Number_1,lp1"/>
    <w:basedOn w:val="a"/>
    <w:link w:val="a6"/>
    <w:uiPriority w:val="34"/>
    <w:qFormat/>
    <w:rsid w:val="009618E0"/>
    <w:pPr>
      <w:spacing w:after="0" w:line="288" w:lineRule="auto"/>
      <w:ind w:left="720" w:firstLine="737"/>
      <w:contextualSpacing/>
      <w:jc w:val="both"/>
    </w:pPr>
    <w:rPr>
      <w:rFonts w:ascii="Arial" w:eastAsia="Times New Roman" w:hAnsi="Arial" w:cs="Times New Roman"/>
      <w:sz w:val="24"/>
      <w:szCs w:val="20"/>
      <w:lang w:val="x-none" w:eastAsia="x-none"/>
    </w:rPr>
  </w:style>
  <w:style w:type="character" w:customStyle="1" w:styleId="a6">
    <w:name w:val="Абзац списка Знак"/>
    <w:aliases w:val="Заголовок первого уровня Знак,_список Знак,Абзац Знак,strich Знак,2nd Tier Header Знак,маркированный Знак,Citation List Знак,Таблицы Знак,список Знак,текст ГЕО Знак,Nawa Bullets Знак,CAFC Bullets Знак,Beran Bullets Знак,Paragraph Знак"/>
    <w:link w:val="a5"/>
    <w:uiPriority w:val="34"/>
    <w:qFormat/>
    <w:locked/>
    <w:rsid w:val="009618E0"/>
    <w:rPr>
      <w:rFonts w:ascii="Arial" w:eastAsia="Times New Roman" w:hAnsi="Arial" w:cs="Times New Roman"/>
      <w:sz w:val="24"/>
      <w:szCs w:val="20"/>
      <w:lang w:val="x-none" w:eastAsia="x-none"/>
    </w:rPr>
  </w:style>
  <w:style w:type="paragraph" w:styleId="a7">
    <w:name w:val="Body Text"/>
    <w:aliases w:val="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gl Знак,b,Знак"/>
    <w:basedOn w:val="a"/>
    <w:link w:val="a8"/>
    <w:qFormat/>
    <w:rsid w:val="00D02DAD"/>
    <w:pPr>
      <w:spacing w:after="120" w:line="360" w:lineRule="auto"/>
      <w:ind w:firstLine="737"/>
    </w:pPr>
    <w:rPr>
      <w:rFonts w:ascii="Times New Roman" w:eastAsia="Times New Roman" w:hAnsi="Times New Roman" w:cs="Times New Roman"/>
      <w:sz w:val="24"/>
      <w:szCs w:val="24"/>
      <w:lang w:val="x-none" w:eastAsia="x-none"/>
    </w:rPr>
  </w:style>
  <w:style w:type="character" w:customStyle="1" w:styleId="a8">
    <w:name w:val="Основной текст Знак"/>
    <w:aliases w:val="gl Знак1,Основной текст Знак Знак Знак Знак Знак Знак Знак Знак Знак Знак Знак Знак Знак,Основной текст Знак Знак Знак Знак Знак,Основной текст Знак Знак Знак Знак Знак Знак Знак Знак,Основной текст Знак1 Знак Знак,gl Знак Знак"/>
    <w:basedOn w:val="a0"/>
    <w:link w:val="a7"/>
    <w:rsid w:val="00D02DAD"/>
    <w:rPr>
      <w:rFonts w:ascii="Times New Roman" w:eastAsia="Times New Roman" w:hAnsi="Times New Roman" w:cs="Times New Roman"/>
      <w:sz w:val="24"/>
      <w:szCs w:val="24"/>
      <w:lang w:val="x-none" w:eastAsia="x-none"/>
    </w:rPr>
  </w:style>
  <w:style w:type="paragraph" w:styleId="a9">
    <w:name w:val="caption"/>
    <w:aliases w:val="Название объекта Знак1,Название объекта Знак1 Знак2 Знак,Название объекта Знак2 Знак Знак1 Знак,Название объекта Знак1 Знак1 Знак Знак1 Знак,Название объекта Знак2 Знак Знак Знак Знак Знак,Название объекта Знак1 Знак2,Знак Зн"/>
    <w:basedOn w:val="a"/>
    <w:next w:val="a"/>
    <w:link w:val="aa"/>
    <w:qFormat/>
    <w:rsid w:val="00E96791"/>
    <w:pPr>
      <w:spacing w:after="0" w:line="240" w:lineRule="auto"/>
      <w:ind w:firstLine="680"/>
      <w:jc w:val="both"/>
    </w:pPr>
    <w:rPr>
      <w:rFonts w:ascii="Times New Roman" w:eastAsia="Times New Roman" w:hAnsi="Times New Roman" w:cs="Arial"/>
      <w:b/>
      <w:bCs/>
      <w:sz w:val="20"/>
      <w:szCs w:val="20"/>
      <w:lang w:eastAsia="ru-RU"/>
    </w:rPr>
  </w:style>
  <w:style w:type="character" w:customStyle="1" w:styleId="aa">
    <w:name w:val="Название объекта Знак"/>
    <w:aliases w:val="Название объекта Знак1 Знак,Название объекта Знак1 Знак2 Знак Знак,Название объекта Знак2 Знак Знак1 Знак Знак,Название объекта Знак1 Знак1 Знак Знак1 Знак Знак,Название объекта Знак2 Знак Знак Знак Знак Знак Знак,Знак Зн Знак"/>
    <w:link w:val="a9"/>
    <w:rsid w:val="00E96791"/>
    <w:rPr>
      <w:rFonts w:ascii="Times New Roman" w:eastAsia="Times New Roman" w:hAnsi="Times New Roman" w:cs="Arial"/>
      <w:b/>
      <w:bCs/>
      <w:sz w:val="20"/>
      <w:szCs w:val="20"/>
      <w:lang w:eastAsia="ru-RU"/>
    </w:rPr>
  </w:style>
  <w:style w:type="character" w:customStyle="1" w:styleId="a4">
    <w:name w:val="Без интервала Знак"/>
    <w:link w:val="a3"/>
    <w:uiPriority w:val="1"/>
    <w:locked/>
    <w:rsid w:val="003F0B59"/>
  </w:style>
  <w:style w:type="paragraph" w:customStyle="1" w:styleId="1">
    <w:name w:val="Обычный1"/>
    <w:rsid w:val="00CD74D3"/>
    <w:pPr>
      <w:spacing w:before="120" w:after="0" w:line="240" w:lineRule="auto"/>
      <w:ind w:firstLine="680"/>
      <w:jc w:val="both"/>
    </w:pPr>
    <w:rPr>
      <w:rFonts w:ascii="Times New Roman CYR" w:eastAsia="Times New Roman CYR" w:hAnsi="Times New Roman CYR" w:cs="Times New Roman CYR"/>
      <w:sz w:val="24"/>
      <w:szCs w:val="24"/>
      <w:lang w:eastAsia="ru-RU"/>
    </w:rPr>
  </w:style>
  <w:style w:type="table" w:customStyle="1" w:styleId="10">
    <w:name w:val="Сетка таблицы1"/>
    <w:basedOn w:val="a1"/>
    <w:next w:val="ab"/>
    <w:uiPriority w:val="59"/>
    <w:rsid w:val="002A7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59"/>
    <w:rsid w:val="002A7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634677">
      <w:bodyDiv w:val="1"/>
      <w:marLeft w:val="0"/>
      <w:marRight w:val="0"/>
      <w:marTop w:val="0"/>
      <w:marBottom w:val="0"/>
      <w:divBdr>
        <w:top w:val="none" w:sz="0" w:space="0" w:color="auto"/>
        <w:left w:val="none" w:sz="0" w:space="0" w:color="auto"/>
        <w:bottom w:val="none" w:sz="0" w:space="0" w:color="auto"/>
        <w:right w:val="none" w:sz="0" w:space="0" w:color="auto"/>
      </w:divBdr>
    </w:div>
    <w:div w:id="1539314520">
      <w:bodyDiv w:val="1"/>
      <w:marLeft w:val="0"/>
      <w:marRight w:val="0"/>
      <w:marTop w:val="0"/>
      <w:marBottom w:val="0"/>
      <w:divBdr>
        <w:top w:val="none" w:sz="0" w:space="0" w:color="auto"/>
        <w:left w:val="none" w:sz="0" w:space="0" w:color="auto"/>
        <w:bottom w:val="none" w:sz="0" w:space="0" w:color="auto"/>
        <w:right w:val="none" w:sz="0" w:space="0" w:color="auto"/>
      </w:divBdr>
    </w:div>
    <w:div w:id="176175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6</Pages>
  <Words>1677</Words>
  <Characters>9562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Asus</cp:lastModifiedBy>
  <cp:revision>9</cp:revision>
  <dcterms:created xsi:type="dcterms:W3CDTF">2024-03-19T18:44:00Z</dcterms:created>
  <dcterms:modified xsi:type="dcterms:W3CDTF">2026-09-01T18:17:00Z</dcterms:modified>
</cp:coreProperties>
</file>