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A2" w:rsidRDefault="008D7BA2" w:rsidP="008D7B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Нетехническое резюме к проекту</w:t>
      </w:r>
      <w:r w:rsidRPr="008D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ОВВ </w:t>
      </w:r>
      <w:r w:rsidRPr="008D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ТОО «Комбинат строительно-дорожных материалов</w:t>
      </w:r>
      <w:bookmarkStart w:id="0" w:name="_GoBack"/>
      <w:bookmarkEnd w:id="0"/>
      <w:r w:rsidRPr="008D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2027-2036 г.</w:t>
      </w:r>
    </w:p>
    <w:p w:rsidR="008D7BA2" w:rsidRDefault="008D7BA2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описание предполагаемого места осуществления намечаемой деятельности, план с изображением его границ.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Добыча песчано-гравийной смеси на месторождении Степного началась в 2012 году. В орографическом отношении месторождения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расположен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среди восточных отрогов </w:t>
      </w:r>
      <w:proofErr w:type="spellStart"/>
      <w:r w:rsidRPr="006C5419">
        <w:rPr>
          <w:rFonts w:ascii="Times New Roman" w:eastAsia="Calibri" w:hAnsi="Times New Roman" w:cs="Times New Roman"/>
          <w:sz w:val="24"/>
          <w:szCs w:val="24"/>
        </w:rPr>
        <w:t>Ульбинского</w:t>
      </w:r>
      <w:proofErr w:type="spell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хребта. Глубина промерзания почв на возвышенных участках достигает 2 м, на пониженных участках с большой мощностью снежного покрова не превышает 1 м. Первоначально право пользования недрами на указанном месторождении осуществлялось ТОО «Бари-Б и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>». В 2021 году данное право пользования недрами вместе со всеми прилагаемыми к нему юридическими документами было приобретено ТОО «Комбинат строительно-дорожных материалов».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Планируемые изменения направлены на добавление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технологических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решении. Помимо предусмотренного способа добычи с помощью экскаватор-драглайна, предприятие намерено добавить технологию добычи с использованием цепного многочерпакового земснаряда (землесосного снаряда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ковшевой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цепью). Также предусмотреть размещение дробильно-сортировочного комплекса на отведённой территории объекта.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Настоящими проектными решениями предусмотрена добыча песчано-гравийной смеси месторождения Степного с помощью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экскаватор-драглайна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>, экскаватора и цепного многочерпакового земснаряда, производительностью по добыче песчано-гравийной смеси составляет 150 тыс. м³/год, продолжительностью до 2036 года.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>Настоящий Отчет выполнен в соответствии с Заключением об определении сферы охвата оценки воздействия на окружающую среду и (или) скрининга воздействий намечаемой деятельности, выданный Департаментом экологии по Восточно-Казахстанской области № KZ21VWF00615536 от 29.07.2026 г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Месторождение Степное сложено современными аллювиальными валунно-гравийно-песчаными отложениями, залегающими на породах палеозойского фундамента или на более древних четвертичных образованиях. Таким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полезная толща месторождения представляет собой </w:t>
      </w:r>
      <w:proofErr w:type="spellStart"/>
      <w:r w:rsidRPr="006C5419">
        <w:rPr>
          <w:rFonts w:ascii="Times New Roman" w:eastAsia="Calibri" w:hAnsi="Times New Roman" w:cs="Times New Roman"/>
          <w:sz w:val="24"/>
          <w:szCs w:val="24"/>
        </w:rPr>
        <w:t>пластообразное</w:t>
      </w:r>
      <w:proofErr w:type="spell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тело протяженностью с севера на юг 854 м при ширине 842 м. Мощность полезной залежи от 5,9 до 7,4 м, мощность вскрышных пород колеблется от 0,6 на северо-западном фланге до 2,1 м на юго-восточном фланге. Подошва </w:t>
      </w:r>
      <w:proofErr w:type="spellStart"/>
      <w:r w:rsidRPr="006C5419">
        <w:rPr>
          <w:rFonts w:ascii="Times New Roman" w:eastAsia="Calibri" w:hAnsi="Times New Roman" w:cs="Times New Roman"/>
          <w:sz w:val="24"/>
          <w:szCs w:val="24"/>
        </w:rPr>
        <w:t>пластообразного</w:t>
      </w:r>
      <w:proofErr w:type="spellEnd"/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 тела залегает на глубине до 8,0 м. Подстилающие породы не вскрыты. В составе полезной толщи прослоев суглинков, глин, илов не встречено.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 xml:space="preserve">Административно месторождение песчано-гравийной смеси «Степное» расположено в 1,5–2 км от областного центра г. Усть-Каменогорск. Ближайший населённый пункт — </w:t>
      </w:r>
      <w:proofErr w:type="gramStart"/>
      <w:r w:rsidRPr="006C541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C5419">
        <w:rPr>
          <w:rFonts w:ascii="Times New Roman" w:eastAsia="Calibri" w:hAnsi="Times New Roman" w:cs="Times New Roman"/>
          <w:sz w:val="24"/>
          <w:szCs w:val="24"/>
        </w:rPr>
        <w:t>. Степное — находится на автотрассе Усть-Каменогорск – Зыряновск на расстоянии 0,8 км от месторождения и соединено с ним грунтовой дорогой.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>Координаты угловых точек месторождения песчано-гравийной смеси «Степное» ТОО «Комбинат строительно-дорожных материалов» приведены в таблице 1.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Координаты угловых точек.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589"/>
        <w:gridCol w:w="4031"/>
      </w:tblGrid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Северная широта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Восточная долгота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49°59'17.9"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82°41'06.1"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49°59'25.0"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82°41'25.4"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49°59'13.8"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82°41'46.6"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49°59'06.4"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82°41'36.3"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49°59'01.3"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82°41'29.2"</w:t>
            </w:r>
          </w:p>
        </w:tc>
      </w:tr>
      <w:tr w:rsidR="006C5419" w:rsidRPr="006C5419" w:rsidTr="00D85497">
        <w:tc>
          <w:tcPr>
            <w:tcW w:w="667" w:type="dxa"/>
            <w:shd w:val="clear" w:color="auto" w:fill="auto"/>
          </w:tcPr>
          <w:p w:rsidR="006C5419" w:rsidRPr="006C5419" w:rsidRDefault="006C5419" w:rsidP="006C5419">
            <w:pPr>
              <w:tabs>
                <w:tab w:val="left" w:pos="0"/>
                <w:tab w:val="left" w:pos="405"/>
              </w:tabs>
              <w:spacing w:after="0" w:line="240" w:lineRule="auto"/>
              <w:ind w:right="1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9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49°58'59.4"</w:t>
            </w:r>
          </w:p>
        </w:tc>
        <w:tc>
          <w:tcPr>
            <w:tcW w:w="4031" w:type="dxa"/>
            <w:shd w:val="clear" w:color="auto" w:fill="auto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82°41'13.2"</w:t>
            </w:r>
          </w:p>
        </w:tc>
      </w:tr>
    </w:tbl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Карта-схема расположения месторождения песчано-гравийной смеси «Степное» ТОО «Комбинат строительно-дорожных материалов» приведена на рисунке 3.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Речная сеть района расположения месторождения представлена в основном бассейном реки Ульба, которая протекает в 312 м от месторождения в западном направлении.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 намечаемой деятельности не представляет природной ценности и историко-культурной значимости. Наличие особо охраняемых территорий и объектов на землях недропользования не </w:t>
      </w: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числится. На землях города и в границах селитебной территории нет размещённых объектов и коммуникаций.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Санаториев, зон отдыха, медицинских учреждений в районе расположения промплощадки рудника нет.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Вскрытие и отработка месторождения планировалась в соответствии с проектом промышленной разработки месторождения «Степное» размер санитарно-защитной зоны для предприятия составляет 500 метров.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Настоящим проектом изменение размера установленной СЗЗ не предусматривается.</w:t>
      </w:r>
      <w:proofErr w:type="gramEnd"/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 продолжения отработки запасов месторождения «Степного» – 2027 год.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окончания отработки запасов месторождения «Степного»– 2036 год с последующей ликвидацией по отдельному проекту.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Ликвидация последствий добычи на месторождении осуществляется на основании требований Статьи 54 п.1 Кодекса РК «О недрах и недропользовании» от 27.12.2017 № 125-VI в соответствии с согласованным Планом Ликвидации и Проектом работ по проведению ликвидации.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Ввиду характера </w:t>
      </w:r>
      <w:proofErr w:type="gramStart"/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намечаемой деятельности, заключаемой в отработке действующего месторождения на контрактной территории и собственных земельных участков обоснование выбора места и рассмотрение возможности выбора других мест не выполняется</w:t>
      </w:r>
      <w:proofErr w:type="gramEnd"/>
      <w:r w:rsidRPr="006C5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Дополнительного отведения земель для реализации намечаемой деятельности не требуется;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2040" cy="42665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426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419" w:rsidRPr="006C5419" w:rsidRDefault="006C5419" w:rsidP="006C54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Рисунок 3. Карто-схема расположения 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месторождения песчано-гравийной смеси «Степное»</w:t>
      </w:r>
    </w:p>
    <w:p w:rsidR="006C5419" w:rsidRPr="006C5419" w:rsidRDefault="006C5419" w:rsidP="006C54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отходов: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 месторождение песчано-гравийной смеси «Степное» расположено в 1,5–2 км от областного центра г. Усть-Каменогорск. Ближайший населённый пункт —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Степное — находится на автотрассе Усть-Каменогорск – Зыряновск на расстоянии 0,8 км от месторождения и соединено с ним грунтовой дорогой.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Численность населения области на 1 января 2025 года составила около 724,0 тыс. человек, на 1 января 2026 года — 718,9 тыс. человек, в том числе городских жителей — около 486,4 тыс. человек (67,8 %), сельских — около 232,4 тыс. человек (32,2 %).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в Восточно-Казахстанской области, Глубоковском районе. Площадь земельного участка составляет 37,5 га(375 000 м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Кадастровый номер земельного участка 05:068:126:970. предназначенный для добычи баритовых руд. Целевое назначение – для проведения добычи валунно-гравийно-песчаной смеси на участке «Степное».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-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Поверхностные объекты и объекты инфраструктуры месторождения размещены в границах земельного отвода. Земли выделены во временное возмездное землепользование со сроком до конца 2036 года.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намечаемой деятельности источниками загрязнения атмосферного воздуха будут являться карьер, транспортные работы, ремонтно-сервисное хозяйство, котельная, склад угля, бензиновый генератор, а также технологические процессы, связанные с добычей и переработкой песчано-гравийной смеси.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 реализации намечаемой деятельности предусматривается 10 неорганизованных источников выбросов загрязняющих веществ. Всего в атмосферу при эксплуатации карьера с учетом автотранспорта будет выбрасываться 10 ингредиентов в количестве 23,3747176944 т/год.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месторождения не предусматривается сброс сточных вод в поверхностные водотоки. Участок расположен в водоохранной зоне и за пределами водоохранной полосы р. Ульба. Воздействие на поверхностные воды намечаемой деятельности исключается.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подземных водных ресурсах при реализации проектных решений отсутствует, забор подземных вод на территории месторождения не осуществляется.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работ на месторождении Степное прогнозируется образование следующих отходов производства: вскрышные породы, ветошь промасленная,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замазученный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грунт и отходов потребления: твердо-бытовые отходы.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объем образования отходов в результате реализации работ по недропользованию составляет: твердые бытовые отходы – 3 т/год, вскрышные породы – 37 тыс. м³/год, ветошь промасленная – 0,08 т/год,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замазученный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грунт – 0,2 т/год. Складирование вскрышной породы предусмотрено во внешние породные отвалы с обратным размещением в отработанных пространствах карьера.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7292975</wp:posOffset>
                </wp:positionH>
                <wp:positionV relativeFrom="paragraph">
                  <wp:posOffset>2733675</wp:posOffset>
                </wp:positionV>
                <wp:extent cx="139700" cy="198120"/>
                <wp:effectExtent l="12065" t="9525" r="1016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981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74.25pt;margin-top:215.25pt;width:11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" fillcolor="yellow"/>
            </w:pict>
          </mc:Fallback>
        </mc:AlternateConten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наименование инициатора намечаемой деятельности, его контактные данные: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намечаемой деятельности – ТОО «Комбинат строительно-дорожных материалов».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 Адрес: 070018, Восточно-Казахстанская область, город Усть-Каменогорск, ул. Бажова,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. 99/10, 7.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 101140002964.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8(777)991-17-89.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краткое описание намечаемой деятельности:</w:t>
      </w:r>
    </w:p>
    <w:p w:rsidR="006C5419" w:rsidRPr="006C5419" w:rsidRDefault="006C5419" w:rsidP="006C541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>Существенных изменений в деятельность предприятия в части промышленной разработки месторождения песчано-гравийной смеси «Степное», в отношении которых ранее была проведена оценка воздействия на окружающую среду, не предполагается.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>Планируемая деятельность предусматривает строительство дробильно-сортировочного комплекса и промышленную разработку месторождения песчано-гравийной смеси «Степное» с организацией открытой добычи полезного ископаемого и его последующей переработкой.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419">
        <w:rPr>
          <w:rFonts w:ascii="Times New Roman" w:eastAsia="Calibri" w:hAnsi="Times New Roman" w:cs="Times New Roman"/>
          <w:sz w:val="24"/>
          <w:szCs w:val="24"/>
        </w:rPr>
        <w:t>Настоящими проектными решениями предусмотрена открытая разработка месторождения песчано-гравийной смеси «Степное», производительностью по добыче 150 тыс. м³/год, продолжительностью до 2036 года. Дополнительно предусматривается приобретение песчано-гравийной смеси у сторонних организаций в объеме 115 тыс. м³/год для переработки на дробильно-сортировочном комплексе. Общий объем переработки песчано-гравийной смеси составляет 265 тыс. м³/год.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Предусматривается применение средств механизации производственных процессов. Основные технологические процессы при разработке месторождения механизированы, начиная с выемки песчано-гравийной смеси и заканчивая ее транспортировкой и переработкой на дробильно-сортировочном комплексе.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 отработки запасов предусматривается последовательно по мере продвижения горных работ в пределах утвержденного горного отвода.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наземным сооружениям относятся карьер, отвалы вскрышных пород, склады, очистные сооружения, дробильно-сортировочный комплекс, комплектная трансформаторная подстанция наружной установки (КТПН), КПП.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</w:r>
    </w:p>
    <w:p w:rsidR="006C5419" w:rsidRPr="006C5419" w:rsidRDefault="006C5419" w:rsidP="006C541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Жизнь и (или) здоровье людей, условия их проживания и деятельности</w:t>
      </w:r>
    </w:p>
    <w:p w:rsidR="006C5419" w:rsidRPr="006C5419" w:rsidRDefault="006C5419" w:rsidP="006C54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работы не приведут к значительному загрязнению окружающей природной среды, что не скажется негативно на здоровье населения. Будут предусмотрены все необходимые меры для обеспечения нормальных санитарно-гигиенических условий работы и отдыха персонала, его медицинского обслуживания. Все работники пройдут необходимую вакцинацию и инструктаж по соблюдению правил личной гигиены, с учетом региональных особенностей, поэтому повышение эпидемиологического риска в районе работ маловероятно. </w:t>
      </w:r>
    </w:p>
    <w:p w:rsidR="006C5419" w:rsidRPr="006C5419" w:rsidRDefault="006C5419" w:rsidP="006C54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местных трудовых ресурсов снижает вероятность заболеваний среди рабочих, адаптированных к местным климатическим условиям, а также уменьшает риск привнесения инфекционных заболеваний из других регионов.</w:t>
      </w:r>
    </w:p>
    <w:p w:rsidR="006C5419" w:rsidRPr="006C5419" w:rsidRDefault="006C5419" w:rsidP="006C54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x-none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ботанико-географического районирования территория месторождения относится к степной зоне Восточно-Казахстанской области (юго-западная часть Глубоковского района), с элементами предгорной лесостепи, обусловленными близостью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Ульбинского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хребта и долины реки Ульба. Зональный тип растительности – дерновинно-злаково-полынная и ковыльно-разнотравная степная растительность. Местность в границах ранее эксплуатируемого обводнённого карьера лишена сплошного растительного покрова вследствие длительного техногенного воздействия. Растительный покров участка очень скуден и представлен в основном полукустарничковыми и кустарниковыми растениями: полынями, типчаком, ковылём, а также отдельными экземплярами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караганы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таволги (спиреи), шиповника. Древесная растительность на основной площадке отсутствует. На прилегающих возвышенностях встречаются фрагменты ковыльно-типчаковых, полынно-злаковых и кустарниковых сообществ. Луговая и прибрежно-водная растительность отмечается в понижениях и по берегам обводнённого карьера, где скапливаются атмосферные 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осадки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поддерживается повышенная увлажнённость за счёт близости реки Ульба.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месторождения с учётом размеров санитарно-защитной зоны виды растений, а также растительные сообщества, представляющие особый научный или историко-культурный интерес, не обнаружены. Особо охраняемых видов растений, внесённых в Красную книгу Республики Казахстан, а также в списки редких и исчезающих, в районе месторождения не выявлено.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 исследования по зоогеографическому районированию относится к восточной части степной зоны с влиянием Алтайской горно-таёжной провинции. Животный мир находится в тесной взаимосвязи с почвенно-климатическими условиями и характером растительного покрова. Фауна представлена преимущественно грызунами (средний суслик, серый хомячок, полёвки, домовая мышь), реже встречаются зайцы-русаки, лисицы, ежи. Из земноводных и пресмыкающихся отмечаются зелёная жаба, озёрная лягушка, ящерицы, узорчатый полоз, степная гадюка. Орнитофауна включает около 100–115 видов, характерных для степных и пойменных местообитаний Восточного Казахстана.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Месторождение Степное размещается на техногенной территории в пределах уже освоенной промышленной зоны (ранее эксплуатируемый обводнённый карьер), без дополнительного изъятия земельных ресурсов, пригодных для постоянного обитания представителей фауны. Влияние на существующий животный мир в пределах основной площадки оказываться не будет, поскольку представители животного мира ранее были вытеснены с этой территории вследствие многолетней хозяйственной деятельности.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прилегающих территориях и на основной площадке отсутствуют пути миграции крупных животных и птиц, а также места постоянного выпаса скота. За пределами промышленной зоны отсутствуют каналы, проволочные заграждения и другие искусственные сооружения, препятствующие свободному передвижению животных.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работ по недропользованию необходимо соблюдать требования п. 8 ст. 257 Экологического кодекса РК от 02.01.2021 г. и ст. 17 Закона РК от 09.07.2004 г. № 593 «Об охране, воспроизводстве и использовании животного мира», должны предусматриваться и осуществляться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обеспечиваться неприкосновенность участков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представляющих особую ценность в качестве среды обитания диких животных.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Земли (в том числе изъятие земель), почвы (в том числе включая органический состав, эрозию, уплотнение, иные формы деградации)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Месторождение баритовых руд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Жуманай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расположено в Сарысу-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Кызылжарской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физико-географической провинции, в полупустынной ландшафтной зоне умеренного пояса Казахстана. Почвы месторождения представлены в основном каштановыми маломощными, каштановыми солонцеватыми и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неполноразвитыми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почвами в комплексе с солонцами каштановыми мелкими и средними от 10 до 15%. Средневзвешенный балл бонитета отводимой территории составляет – 10. По содержанию органических веществ в верхнем горизонте его количество составляет около 2%. С глубиной запаса гумуса снижаются и затем резко исчезают. Западнее встречаются участки серо-бурых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неполноразвитых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почв среднесуглинистых. Почвы площади в основном 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пригодны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земледелия в связи с низким содержанием гумуса и малой мощностью почвенного слоя. </w:t>
      </w:r>
      <w:r w:rsidRPr="006C54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Настоящими </w:t>
      </w:r>
      <w:r w:rsidRPr="006C54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роектными решениями предусмотрена открытая отработка баритового месторождения </w:t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Жуманай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производительностью по добыче руды 100 тыс. тонн/год, продолжительностью 7 лет.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Карьер месторождения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Жуманай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существующий и имеет следующие размеры: длина 360 м, ширина 230м, глубина 36 м. Разработка карьера идёт открытым способом. Площадь карьера составляет 2,67 га. Параметры карьера: длина 360 м, ширина 230 м, глубина 36 м. Рабочая высота породных уступов составляет 7-8 м, добычных уступов – 6-7 м.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Атмосферный воздух (в том числе риски нарушения экологических нормативов его качества, целевых показателей качества, а при их отсутствии – ориентировочно безопасных уровней воздействия на него)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атмосферного воздуха становится все большей проблемой растущих городов.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РГП «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Казгидромет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произведено районирование территории Казахстана с точки зрения установления отдельных ее районов благоприятных для самоочищения атмосферы от вредных выбросов в зависимости от метеоусловий.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Метеорологические условия, приводящие к накоплению примесей, определяют высокий потенциал и, наоборот, условия, благоприятные для рассеивания, определяют низкий потенциал ПЗА. Потенциалом загрязнения атмосферы является совокупность погодных условий, определяющих меру способности атмосферы рассеивать выбросы вредных веществ и формировать некоторый уровень концентрации примесей в приземном слое.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районированию территории РК по потенциалу загрязнения атмосферы (ПЗА)  р-н относится к V-ой зоне – зоне повышенного потенциала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загрязнения.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1515" cy="48380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83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загрязнения атмосферного воздуха в районе (район месторождения) Восточно-Казахстанской области по данным Филиала РГП «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Казгидромет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проводится. В районе расположения месторождения не имеется поста наблюдений РГП «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Казгидромет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Материальные активы, объекты историко-культурного наследия (в том числе архитектурные и археологические), ландшафты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историко-культурного наследия (в том числе архитектурные и археологические) в границах осуществления работ по намечаемой деятельности отсутствуют.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деятельности: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Эмиссии в атмосферу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строительство прогнозируется выделение загрязняющих веществ от следующих работ: земляные работы, строительство ДСК, автотранспорт.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Земляные работы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выделенного участка для строительства ДСК.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Расчистка территории.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Устройство фундаментов (монолитные плиты, свайные основания под тяжелое оборудование).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Подготовка подъездных дорог, площадок для разгрузки.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загрязняющего вещества в атмосферу осуществляется неорганизованно (ист. №6001).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Строительство ДСК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опорных металлоконструкций и рам.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основного оборудования по технологической последовательности: бункер → дробилка → конвейеры → грохоты → сортировка.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конвейерных линий, электромонтаж (сварочные работы), установка шкафов управления.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Выброс загрязняющего вещества в атмосферу осуществляется неорганизованно (ист. №6002).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Автотранспорт 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строительства объекта будет использоваться следующая техника: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самосвал – 1 шт.;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экскаватор – 1шт.;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автокран – 1 шт.;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манипулятор - 1 шт.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загрязняющего вещества в атмосферу осуществляется неорганизованно (ист. №6003).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эксплуатации прогнозируется выделение загрязняющих веществ от следующих работ: добыча ПГС, работа ДСК, открытые склады готовой продукции, автотранспорт, отвалы вскрышных пород.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Добыча ПГС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Выемка грунта – 150 тыс. м3/год.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загрязняющих веществ в атмосферу осуществляется неорганизованно (ист. №6001).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Работа ДСК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ДСК включает в себя следующие функции: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Подача в приемный бункер;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Дробление;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Грохочение</w:t>
      </w:r>
      <w:proofErr w:type="spell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Перемещение сырья по ленточному конвейеру на сортировку по фракциям.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загрязняющих веществ в атмосферу осуществляется неорганизованно (ист. №6002).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склады готовой продукции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1.Площадки под транспортерной лентой (ссыпка фракций):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-склад временного хранения готовой продукции фракции 20-40 () – 28 м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-склад временного хранения готовой продукции фракции 10-20 – 28 м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-склад временного хранения готовой продукции фракции 5-10 – 28 м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-склад временного хранения готовой продукции фракции 1-5 – 28 м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2.Склад временного хранения готовой продукции – 3574 м</w:t>
      </w: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загрязняющих веществ в атмосферу осуществляется неорганизованно (ист. №6003,6004,6005,6006,6007,6008).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Автотранспорт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Экскаватор-драглайн;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Экскаватор;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Погрузчик;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Самосвал;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Земснаряд (ист. №6009, 2).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 загрязняющего вещества в атмосферу осуществляется неорганизованно (ист. №6009).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Отвалы вскрышных пород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на период строительство будет 3 неорганизованных источников выбросов.</w:t>
      </w:r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5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атмосферу при эксплуатации карьера с учетом автотранспорта будет выбрасываться 11 ингредиентов в количестве 0,22096654 т/год (твердые – 0,0351911 т/год, газообразные и жидкие – 0,18577544 т/год).</w:t>
      </w:r>
      <w:proofErr w:type="gramEnd"/>
    </w:p>
    <w:p w:rsidR="006C5419" w:rsidRPr="006C5419" w:rsidRDefault="006C5419" w:rsidP="006C5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водоснабжения объекта являются: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хозяйственно-питьевых нужд – привозная вода. Хозяйственно-питьевое водоснабжение территории объекта предусматривается привозной водой. Доставка хозяйственно-питьевой воды будет выполняться специализированным автомобильным транспортом (автоцистерной);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для хозяйственно-технических нужд, в том числе для пылеподавления на технологических проездах и рабочих площадках, – техническая вода, забираемая из очистного сооружения сети К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недостаточном количестве воды в очистных сооружениях К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 резервный забор технической воды из обводненного карьера.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хозяйственно-питьевой воде составляет 24 м³/год. Потребность в хозяйственно-технической воде составляет 1479,52 м³/год.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пылеподавления на территории объекта, технологических проездах и рабочих площадках техническая вода забирается из очистного сооружения сети К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доставляется к местам проведения работ. При недостаточном количестве воды в очистных сооружениях К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использование технической воды из обводненного карьера.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Ближайшим поверхностным водным объектом является река Ульба, расположенная на расстоянии 312 м от территории объекта. Территория объекта расположена вне водоохранной зоны и водоохранной полосы реки Ульба.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Поверхностный сток с территории объекта поступает в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дождеприемный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колодец ДК-1 и далее направляется на очистные сооружения. Очистка поверхностного стока осуществляется в грязеотстойнике с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бензомаслоуловителем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нефтесборном колодце и фильтрах доочистки с загрузкой из древесной стружки. После очистки вода предусматривается к повторному использованию для пылеподавления на территории предприятия.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расход дождевых вод составляет 9,36 л/с, или 33,7 м³/час. Среднегодовой объем дождевых вод составляет 662,87 м³/год.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строительстве и эксплуатации объекта не предусматривается сброс загрязняющих веществ в поверхностные водные объекты и на рельеф местности. Избыточные объемы воды будут отводиться по системе ливневой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канализации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направляться на очистные сооружения.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подземных водных ресурсах для реализации проектных решений не предусматривается.</w:t>
      </w:r>
    </w:p>
    <w:p w:rsidR="006C5419" w:rsidRPr="006C5419" w:rsidRDefault="006C5419" w:rsidP="006C54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сброс сточных вод в поверхностные водные объекты не предусматривается, в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нормативы предельно допустимых сбросов для объекта не устанавливаются.</w:t>
      </w:r>
    </w:p>
    <w:p w:rsidR="006C5419" w:rsidRPr="006C5419" w:rsidRDefault="006C5419" w:rsidP="006C541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Обоснование предельного количества накопления отходов по видам</w:t>
      </w:r>
    </w:p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проведении работ на месторождении Степное прогнозируется образование следующих отходов во время строительных работ: строительные отходы, огарки сварочных электродов, отходов потребления: твердо-бытовые отходы, ветошь промасленная.</w:t>
      </w:r>
    </w:p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объем образования отходов в результате строительных работ составляет:</w:t>
      </w:r>
    </w:p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отходами на период проведения работ по недропользованию предоставлена в таблице 9.1. </w:t>
      </w:r>
    </w:p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Лимиты накопления отходов на период ликвидационных работ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9.2.</w:t>
      </w:r>
    </w:p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9.1. Система управления отходами на период строительство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2277"/>
        <w:gridCol w:w="3026"/>
        <w:gridCol w:w="3090"/>
      </w:tblGrid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отходов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Прогнозируемое количество</w:t>
            </w:r>
          </w:p>
        </w:tc>
        <w:tc>
          <w:tcPr>
            <w:tcW w:w="1377" w:type="pct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в соответствии с классификатором отходов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утилизации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Твердые бытовые отходы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0,525</w:t>
            </w:r>
            <w:r w:rsidRPr="006C5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20 03 01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Собираются и временно хранятся в контейнерах на открытой площадке до передачи специализированной организации.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Огарки сварочных электродов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0,002604</w:t>
            </w:r>
            <w:r w:rsidRPr="006C541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12 01 13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Собираются и временно хранятся в контейнерах на открытой площадке до передачи специализированной организации.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Строительные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отходы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4,59865 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17 01 07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Собирается</w:t>
            </w:r>
            <w:proofErr w:type="gramEnd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временно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хранятся в контейнерах на открытой площадке до передачи специализированной организации.</w:t>
            </w:r>
          </w:p>
        </w:tc>
      </w:tr>
    </w:tbl>
    <w:p w:rsidR="006C5419" w:rsidRPr="006C5419" w:rsidRDefault="006C5419" w:rsidP="006C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9.2. Система управления отходами на период эксплуатации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2277"/>
        <w:gridCol w:w="3026"/>
        <w:gridCol w:w="3090"/>
      </w:tblGrid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отходов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Прогнозируемое количество</w:t>
            </w:r>
          </w:p>
        </w:tc>
        <w:tc>
          <w:tcPr>
            <w:tcW w:w="1377" w:type="pct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в соответствии с классификатором отходов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утилизации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Твердые бытовые отходы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Calibri" w:hAnsi="Times New Roman" w:cs="Times New Roman"/>
                <w:sz w:val="24"/>
                <w:szCs w:val="24"/>
              </w:rPr>
              <w:t>3 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20 03 01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Собираются и временно хранятся в контейнерах на открытой площадке до передачи специализированной организации.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Вскрышные породы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6C541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01 01 02 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Собираются и временно хранятся в контейнерах на открытой площадке до передачи специализированной организации.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Ветошь промасленная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0,08 т/год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02 02*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Собирается</w:t>
            </w:r>
            <w:proofErr w:type="gramEnd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временно хранятся в контейнерах на открытой площадке до передачи специализированной организации.</w:t>
            </w:r>
          </w:p>
        </w:tc>
      </w:tr>
      <w:tr w:rsidR="006C5419" w:rsidRPr="006C5419" w:rsidTr="00D85497">
        <w:trPr>
          <w:trHeight w:val="20"/>
          <w:jc w:val="center"/>
        </w:trPr>
        <w:tc>
          <w:tcPr>
            <w:tcW w:w="1181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Замазученный</w:t>
            </w:r>
            <w:proofErr w:type="spellEnd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грунт</w:t>
            </w:r>
          </w:p>
        </w:tc>
        <w:tc>
          <w:tcPr>
            <w:tcW w:w="103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77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05 03*</w:t>
            </w:r>
          </w:p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(опасный)</w:t>
            </w:r>
          </w:p>
        </w:tc>
        <w:tc>
          <w:tcPr>
            <w:tcW w:w="1406" w:type="pct"/>
            <w:vAlign w:val="center"/>
          </w:tcPr>
          <w:p w:rsidR="006C5419" w:rsidRPr="006C5419" w:rsidRDefault="006C5419" w:rsidP="006C5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Собирается</w:t>
            </w:r>
            <w:proofErr w:type="gramEnd"/>
            <w:r w:rsidRPr="006C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временно хранятся в контейнерах на открытой площадке до передачи специализированной организации.</w:t>
            </w:r>
          </w:p>
        </w:tc>
      </w:tr>
    </w:tbl>
    <w:p w:rsidR="006C5419" w:rsidRPr="006C5419" w:rsidRDefault="006C5419" w:rsidP="006C5419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419" w:rsidRPr="006C5419" w:rsidRDefault="006C5419" w:rsidP="006C541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осуществления:</w:t>
      </w:r>
    </w:p>
    <w:p w:rsidR="006C5419" w:rsidRPr="006C5419" w:rsidRDefault="006C5419" w:rsidP="006C541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намечаемой деятельности особое внимание будет уделено мероприятиям по обеспечению безопасного ведения работ и технической надежности всех операций производственного цикла.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 выполнении работ будут соблюдаться требования законодательства Республики Казахстан и международные правила в области промышленной безопасности по предотвращению аварий и ликвидации их последствий.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Для этого будут предприняты следующие превентивные меры: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- проведена оценка риска аварий при эксплуатации предприятия, определены степени риска для персонала, населения и природной среды;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- разработаны и внедрены необходимые инструкции и планы действий персонала по предупреждению и ликвидации чрезвычайных ситуаций. В том числе план работы с опасными материалами (дизельное топливо, ГСМ и т.п.);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- разработаны планы эвакуации персонала и населения в случае аварии.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Готовность строительной техники и оборудования будет проанализирована специалистами и экспертами, а также контролирующими органами Казахстана.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Кроме вышеприведенных мер, элементами минимизации возникновения аварийной ситуации будут являться также следующие меры, связанные с человеческим фактором: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регулярные инструктажи по технике безопасности;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готовность к аварийным ситуациям и планирование мер реагирования.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 целом мероприятия по ликвидации аварии должны сводиться к следующему: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остановка работ;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оповещение руководства участка работ;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ликвидация аварийной ситуации; 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ликвидация причин аварии;</w:t>
      </w:r>
    </w:p>
    <w:p w:rsidR="006C5419" w:rsidRPr="006C5419" w:rsidRDefault="006C5419" w:rsidP="006C541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восстановление участка работ до рабочих условий, сбор и утилизация образовавшихся отходов.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Мероприятия по охране труда сводятся: к снабжению рабочих доброкачественной питьевой водой, спецодеждой; к устройству помещений для обогрева рабочих в холодное время года; к снабжению рабочих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спецпринадлежностями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при обслуживании электроустановок. В помещениях должны быть аптечки первой медицинской помощи.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Ежегодно все работники проходят профилактические медицинские осмотры.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 целью противопожарной защиты на всех эксплуатирующих машинах и на рабочих местах устанавливаются огнетушители, ящики с песком и соответствующий противопожарный инвентарь согласно нормативным требованиям.</w:t>
      </w:r>
      <w:r w:rsidRPr="006C5419">
        <w:rPr>
          <w:rFonts w:ascii="Times New Roman" w:eastAsia="Times New Roman" w:hAnsi="Times New Roman" w:cs="Times New Roman"/>
          <w:sz w:val="24"/>
          <w:szCs w:val="24"/>
          <w:highlight w:val="yellow"/>
          <w:lang w:eastAsia="x-none"/>
        </w:rPr>
        <w:t xml:space="preserve">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x-none"/>
        </w:rPr>
      </w:pP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8) краткое описание: мер по предотвращению, сокращению, смягчению выявленных существенных воздействий намечаемой деятельности на окружающую среду; мер по компенсации потерь биоразнообразия, если намечаемая деятельность может привести к таким потерям;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воздействия; способов и мер восстановления окружающей среды в случаях прекращения намечаемой деятельности;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Мероприятия по смягчению воздействий - это система действий, используемая для управления воздействиями - снижения потенциальных отрицательных воздействий или усиления положительных воздействий в интересах как затрагиваемого проектом населения, так и региона, области, республики в целом.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 всех случаях, когда выявлены значительные неблагоприятные воздействия, основная цель заключается в поиске мер по их снижению. Для тех случаев, когда подобрать подходящие мероприятия не представляется возможным, ниже излагаются варианты мероприятий, направленных на компенсации негативных последствий.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Кроме того, в соответствующих случаях рекомендованы стимулирующие мероприятия. Стимулирующие мероприятия не следует рассматривать в качестве альтернативы смягчающим или компенсирующим мероприятиям – это мероприятия, выделенные в связи с их способностью обеспечить проекту определенные дополнительные преимущества после того, как реализованы все смягчающие и компенсирующие мероприятия.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По атмосферному воздуху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На период проведения работ по недропользованию от источников выбросов загрязняющих веществ дополнительно образуются выбросы в количестве: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 2027 по 2036 года – 23,3747176944 т/год.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уменьшения влияния работающего технологического оборудования предприятия на состояние атмосферного воздуха, снижения их приземных концентраций и предотвращения сверхнормативных выбросов вредных веществ в атмосферу ежегодно на предприятии разрабатывается комплекс планировочных и технологических мероприятий.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Технологические мероприятия включают: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тщательную технологическую регламентацию проведения работ;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обеспечение безопасности производства на наиболее опасных участках;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обучение персонала правилам техники безопасности, пожарной безопасности и соблюдению правил эксплуатации при выполнении работ;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регулярные технические осмотры оборудования, замена неисправных материалов и оборудования;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 качестве общей меры для контроля выбросов является проведение ежегодного контроля на границе санитарно-защитной зоны.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Реализация выше перечисленных мероприятий в сочетании с хорошей организацией производственного процесса и производственного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 за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состоянием окружающей среды позволит обеспечить соблюдение нормативов допустимых выбросов (НДВ) и уменьшить негативную нагрузку на воздушный бассейн при проведении работ по ликвидации.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6C541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Водные ресурсы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районе месторождения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Степное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поверхностный водоток река Ульба, таким образом, намечаемая деятельность осуществляется в водоохранных зон и вне водоохранных полос поверхностных водных объектов. Кроме того исключается воздействие на гидрологический режим и ихтиофауну поверхностных водотоков. Источниками водоснабжения карьера являются: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для питьевых нужд привозная вода с ближайшего водозабора по договору со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спецорганизацией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- для технических нужд будет использоваться вода из колодца К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привозная вода.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Потребность в подземных водных ресурсах при реализации проектных решений отсутствует, забор подземных вод на территории месторождения не осуществляется.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 целью охраны подземных и поверхностных вод от загрязнения, разработаны следующие мероприятия: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соблюдение природоохранных требований законодательных и нормативных актов Республики Казахстан, внутренних документов и стандартов компании;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техника и автотранспорт оборудуются специальными металлическими поддонами, исключающими утечки и проливы ГСМ на почву и предотвращающие загрязнение подземных вод нефтепродуктами.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Проведение дополнительного экологического мониторинга поверхностных и подземных вод при реализации проектных решений не предусматривается.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Почвы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Почвы являются достаточно консервативной средой, собирающей в себя многочисленные загрязнители и теряющей от этого свои свойства. По сравнению с водой и воздухом почвы - самая малоподвижная среда, миграция загрязняющих веществ в которой происходит относительно медленно. Кроме того, при техногенном загрязнении почв вместе с пылью из воздуха в почву оседают аэрозоли и газообразные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вещества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выделяемые в процессе производства.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соответствии с п. 4 ст. 140 Земельного Кодекса РК, собственники земельных участков и землепользователи обязаны проводить мероприятия, направленные на снятие, сохранение и использование плодородного слоя почвы при проведении работ, связанных с нарушением земель.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Нарушение и отчуждение земель проектом не предусмотрено, все работы запланированы в границах выделенных земельных участков. Дополнительного отведения земель для реализации намечаемой деятельности не требуется.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Нарушение растительного покрова и почвенного слоя за пределами земельных участков (земель), отведенных в соответствии с законодательством Республики Казахстан под проведение операций по недропользованию не предусмотрено.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Снятие плодородного слоя почвы в целях продажи или передачи его в собственность другим лицам проектом не предусмотрено.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Проектом разработаны природоохранные мероприятия, которые будут способствовать снижению негативного воздействия на почвенный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покров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обеспечат сохранение ресурсного потенциала земель и экологической ситуации в целом.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Снижение негативных последствий будет обеспечиваться реализацией комплекса технических, технологических и природоохранных мероприятий, включающих: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проведение работ в границах выделенного земельного отвода;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своевременное проведение технического обслуживания, проверки и ремонта оборудования, техники;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выделение и обустройство мест для установки контейнеров для различных отходов;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утилизация образующихся отходов по договорам со специализированными организациями.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Анализ мероприятий показывает, что при реализации всех предусмотренных мероприятий, выявленные возможные воздействия объектов намечаемой деятельности на окружающую среду будут несущественными.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качестве мер по мониторингу воздействий предлагается проведение после проектного анализа, т.к. другие методы в данном случае будут неинформативны. </w:t>
      </w: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Необходимость проведения после проектного анализа фактических воздействий, согласно пункту 2 статьи 76 Экологического кодекса РК, определяется в рамках отчета о возможных воздействиях с учетом требований «Правил проведения после проектного анализа и формы заключения по результатам после проектного анализа» утвержденных приказом Министра экологии, геологии и природных ресурсов Республики Казахстан от 1 июля 2021 года № 229. </w:t>
      </w:r>
      <w:proofErr w:type="gramEnd"/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C5419" w:rsidRPr="006C5419" w:rsidRDefault="006C5419" w:rsidP="006C54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9) список источников информации, полученной в ходе выполнения оценки воздействия на окружающую среду: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Законодательные рамки экологической оценки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Намечаемая деятельность осуществляется на территории Республики Казахстан, в связи с этим его экологическая оценка выполнена в соответствии с требованиями Экологического законодательства Республики Казахстан и других законов, имеющих отношение к проекту.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Экологическое законодательство РК основывается на Конституции Республики Казахстан и состоит из Экологического Кодекса РК, 2021 г. (далее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ЭК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РК) и иных нормативных правовых актов Республики Казахстан.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Оценка воздействия на окружающую среду (ОВОС), согласно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ЭК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РК – обязательная процедура для намечаемой деятельности, в рамках которой оцениваются возможные последствия хозяйственной и иной деятельности для окружающей среды и здоровья человека, разрабатываются меры по предотвращению неблагоприятных последствий, оздоровлению окружающей среды с учетом требований экологического законодательства Республики Казахстан.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Законодательство РК в области технического регулирования основывается на Конституции Республики Казахстан и состоит из Закона РК «О техническом регулировании» от 9 ноября 2004 года № 603-II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Техническое регулирование основывается на принципах равенства требований к отечественной и импортируемой продукции, услуге и процедурам подтверждения их соответствия требованиям, установленным в технических регламентах и стандартах.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Технические удельные нормативы эмиссий устанавливаются на основе внедрения наилучших доступных технологий.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Земельное законодательство РК основывается на Конституции Республики Казахстан и состоит из Земельного кодекса РК № 442-II от 20 июня 2003 года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Задачами земельного законодательства РК является регулирование земельных отношений в целях обеспечения рационального использования и охраны земель.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При размещении, проектировании и вводе в эксплуатацию объектов, отрицательно влияющих на состояние земель, должны предусматриваться и осуществляться мероприятия по охране земель.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Водное законодательство РК основывается на Конституции Республики Казахстан и состоит из Водного кодекса РК № 481-II ЗРК от 9 июля 2003 года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Целями водного законодательства РК являются достижение и поддержание экологически безопасного и экономически оптимального уровня водопользования и охраны водного фонда, водоснабжения и водоотведения для сохранения и улучшения жизненных условий населения и окружающей среды.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Санитарно-эпидемиологическое законодательство РК основывается на Конституции Республики Казахстан и состоит из Кодекса «О здоровье народа и системе здравоохранения РК» от 7 июля 2020 года № 360-VI и иных нормативных правовых актов.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Кодекс регулирует общественные отношения в области здравоохранения в целях реализации конституционного права граждан на охрану здоровья.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Методическая основа проведения ОВОС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Намечаемая деятельность осуществляется на территории Республики Казахстан, поэтому его экологическая оценка выполнена в соответствии с требованиями Экологического законодательства Республики Казахстан и других законов, имеющих отношение к проекту.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Экологическое законодательство РК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основывается на Конституции Республики Казахстан и состоит из Экологического Кодекса РК 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400-VI 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02.01.2021 г. (далее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ЭК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РК) и иных нормативных правовых актов Республики Казахстан.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Оценка воздействия на окружающую среду (ОВОС), согласно </w:t>
      </w: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ЭК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РК – обязательная процедура для намечаемой деятельности, в рамках которой оцениваются возможные последствия хозяйственной и иной деятельности для окружающей среды и здоровья человека, разрабатываются меры по предотвращению неблагоприятных последствий, оздоровлению окружающей среды с учетом требований экологического законодательства Республики Казахстан.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Законодательство РК в области технического регулирования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основывается на Конституции Республики Казахстан и состоит из Закона РК «О техническом регулировании» от 9 ноября 2004 года № 603-II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Техническое регулирование основывается на принципах равенства требований к отечественной и импортируемой продукции, услуге и процедурам подтверждения их соответствия требованиям, установленным в технических регламентах и стандартах.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Технические удельные нормативы эмиссий устанавливаются на основе внедрения наилучших доступных технологий.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Земельное законодательство РК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основывается на Конституции Республики Казахстан и состоит из Земельного кодекса РК № 442-II от 20 июня 2003 года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Задачами земельного законодательства РК является регулирование земельных отношений в целях обеспечения рационального использования и охраны земель.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При размещении, проектировании и вводе в эксплуатацию объектов, отрицательно влияющих на состояние земель, должны предусматриваться и осуществляться мероприятия по охране земель.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Водное законодательство РК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основывается на Конституции Республики Казахстан и состоит из Водного кодекса РК № 481-II ЗРК от 9 июля 2003 года и иных нормативных правовых актов.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Целями водного законодательства РК являются достижение и поддержание экологически безопасного и экономически оптимального уровня водопользования и охраны водного фонда, водоснабжения и водоотведения для сохранения и улучшения жизненных условий населения и окружающей среды.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Санитарно-эпидемиологическое законодательство РК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основывается на Конституции Республики Казахстан и состоит из Кодекса РК от 7 июля 2020 года № 360-VI «О здоровье народа и системе здравоохранения» и иных нормативных правовых актов.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Кодекс регулирует общественные отношения в области здравоохранения в целях реализации конституционного права граждан на охрану здоровья. 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Методическая основа проведения ОВОС</w:t>
      </w:r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предпроектной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или проектной документации определяет «Инструкции по организации и проведению экологической оценки», утвержденная Приказом Министра экологии, геологии и природных ресурсов РК от 30 июля 2021 года № 280. </w:t>
      </w:r>
      <w:proofErr w:type="gramEnd"/>
    </w:p>
    <w:p w:rsidR="006C5419" w:rsidRPr="006C5419" w:rsidRDefault="006C5419" w:rsidP="006C54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Методической основой проведения ОВОС являются: </w:t>
      </w:r>
    </w:p>
    <w:p w:rsidR="006C5419" w:rsidRPr="006C5419" w:rsidRDefault="006C5419" w:rsidP="006C541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«Методические указания по проведению оценки воздействия хозяйственной деятельности на окружающую среду», утвержденные Приказом Министерства охраны окружающей среды РК от 29 октября 2010 года № 270-п. которые разработаны с использованием документов Всемирного Банка и Европейской комиссии по проведению экологической оценки (</w:t>
      </w:r>
      <w:proofErr w:type="spellStart"/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nvironmental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Assessment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) и Оценке Воздействия на Окружающую среду (Е</w:t>
      </w:r>
      <w:proofErr w:type="spellStart"/>
      <w:r w:rsidRPr="006C5419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nvironmental</w:t>
      </w:r>
      <w:proofErr w:type="spell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C5419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Impact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C5419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Assessment</w:t>
      </w: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.);</w:t>
      </w:r>
    </w:p>
    <w:p w:rsidR="006C5419" w:rsidRPr="006C5419" w:rsidRDefault="006C5419" w:rsidP="006C541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«Оценка риска воздействия на здоровье населения химических факторов окружающей среды» (Методические рекомендации) утверждены Минздравом РК от 19 марта 2004 года; </w:t>
      </w:r>
    </w:p>
    <w:p w:rsidR="006C5419" w:rsidRPr="006C5419" w:rsidRDefault="006C5419" w:rsidP="006C541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>«Методические рекомендации по проведению оценки риска здоровью населения от воздействия химических факторов», МНЭ РК от 13.12.2016 г. №№ 193-ОД.</w:t>
      </w:r>
    </w:p>
    <w:p w:rsidR="00FD52B9" w:rsidRDefault="006C5419" w:rsidP="006C5419">
      <w:proofErr w:type="gramStart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Контроль за</w:t>
      </w:r>
      <w:proofErr w:type="gramEnd"/>
      <w:r w:rsidRPr="006C54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соблюдением требований экологического законодательства Республики Казахстан при выполнении процедуры оценки воздействия на окружающую среду осуществляет уполномоченный орган в области охраны окружающей среды – Комитет экологического регулирования и контроля в составе Министерства экологии, геологии и природных ресурсов РК.</w:t>
      </w:r>
    </w:p>
    <w:sectPr w:rsidR="00FD52B9" w:rsidSect="006C5419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86DB3"/>
    <w:multiLevelType w:val="hybridMultilevel"/>
    <w:tmpl w:val="6D0A9B06"/>
    <w:lvl w:ilvl="0" w:tplc="E8662DF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EAF214B"/>
    <w:multiLevelType w:val="hybridMultilevel"/>
    <w:tmpl w:val="FE1899AC"/>
    <w:lvl w:ilvl="0" w:tplc="160AC798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06"/>
    <w:rsid w:val="004C2B06"/>
    <w:rsid w:val="006C5419"/>
    <w:rsid w:val="008D7BA2"/>
    <w:rsid w:val="00FD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6147</Words>
  <Characters>35041</Characters>
  <Application>Microsoft Office Word</Application>
  <DocSecurity>0</DocSecurity>
  <Lines>292</Lines>
  <Paragraphs>82</Paragraphs>
  <ScaleCrop>false</ScaleCrop>
  <Company>SPecialiST RePack</Company>
  <LinksUpToDate>false</LinksUpToDate>
  <CharactersWithSpaces>41106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2026-09-04T11:31:00Z</dcterms:created>
  <dcterms:modified xsi:type="dcterms:W3CDTF">2026-09-04T11:34:00Z</dcterms:modified>
</cp:coreProperties>
</file>