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AB348" w14:textId="37AD4A80" w:rsidR="00507F77" w:rsidRPr="003A7EAB" w:rsidRDefault="00507F77" w:rsidP="00507F77">
      <w:pPr>
        <w:spacing w:after="0" w:line="240" w:lineRule="auto"/>
        <w:ind w:firstLine="0"/>
        <w:rPr>
          <w:rFonts w:ascii="Times New Roman" w:eastAsia="Times New Roman" w:hAnsi="Times New Roman"/>
          <w:bCs/>
          <w:caps/>
          <w:sz w:val="24"/>
          <w:szCs w:val="24"/>
        </w:rPr>
      </w:pPr>
      <w:r w:rsidRPr="003A7EAB">
        <w:rPr>
          <w:rFonts w:ascii="Times New Roman" w:eastAsia="Times New Roman" w:hAnsi="Times New Roman"/>
          <w:bCs/>
          <w:caps/>
          <w:sz w:val="24"/>
          <w:szCs w:val="24"/>
        </w:rPr>
        <w:t xml:space="preserve"> Краткое нетехническо резюме в целях информирования заинтересованной общественности св</w:t>
      </w:r>
      <w:r w:rsidRPr="003A7EAB">
        <w:rPr>
          <w:rFonts w:ascii="Times New Roman" w:eastAsia="Times New Roman" w:hAnsi="Times New Roman"/>
          <w:bCs/>
          <w:caps/>
          <w:sz w:val="24"/>
          <w:szCs w:val="24"/>
        </w:rPr>
        <w:t>я</w:t>
      </w:r>
      <w:r w:rsidRPr="003A7EAB">
        <w:rPr>
          <w:rFonts w:ascii="Times New Roman" w:eastAsia="Times New Roman" w:hAnsi="Times New Roman"/>
          <w:bCs/>
          <w:caps/>
          <w:sz w:val="24"/>
          <w:szCs w:val="24"/>
        </w:rPr>
        <w:t>зи с ее участием в оценке воздействия на окружающую среду</w:t>
      </w:r>
    </w:p>
    <w:p w14:paraId="327CB8C9" w14:textId="77777777" w:rsidR="00507F77" w:rsidRPr="003A7EAB" w:rsidRDefault="00507F77" w:rsidP="00507F77">
      <w:pPr>
        <w:pStyle w:val="2"/>
        <w:ind w:firstLine="709"/>
        <w:jc w:val="both"/>
        <w:rPr>
          <w:szCs w:val="24"/>
          <w:lang w:val="ru-RU"/>
        </w:rPr>
      </w:pPr>
    </w:p>
    <w:p w14:paraId="75C9B282" w14:textId="77777777" w:rsidR="00507F77" w:rsidRPr="003A7EAB" w:rsidRDefault="00507F77" w:rsidP="00507F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KZ" w:eastAsia="ru-KZ"/>
        </w:rPr>
      </w:pPr>
      <w:r w:rsidRPr="003A7EAB">
        <w:rPr>
          <w:rFonts w:ascii="Times New Roman" w:hAnsi="Times New Roman"/>
          <w:sz w:val="24"/>
          <w:szCs w:val="24"/>
        </w:rPr>
        <w:t xml:space="preserve">Отчет разработан 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>ТОО «РУДПРОЕКТ» Оразбеков Е.Б., правом на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 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>выполнение работ и оказание услуг в области охраны окружающей среды является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 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>лицензия № 02974P от 31.10.2025 г., выданная Комитетом экологического регулирования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 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 xml:space="preserve">и контроля Министерства охраны окружающей среды Республики Казахстан (Приложение </w:t>
      </w:r>
      <w:r w:rsidRPr="003A7EAB">
        <w:rPr>
          <w:rFonts w:ascii="Times New Roman" w:hAnsi="Times New Roman"/>
          <w:sz w:val="24"/>
          <w:szCs w:val="24"/>
          <w:lang w:eastAsia="ru-KZ"/>
        </w:rPr>
        <w:t>1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>).</w:t>
      </w:r>
    </w:p>
    <w:p w14:paraId="55D22DF8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Целью составления настоящего Отчета является определение экологических и иных последствий вариантов, принимаемых управленческих и хозяйственных решений, разработки рекомендаций по оздоровлению окружающей среды, предотвращ</w:t>
      </w:r>
      <w:r w:rsidRPr="003A7EAB">
        <w:rPr>
          <w:rFonts w:ascii="Times New Roman" w:hAnsi="Times New Roman"/>
          <w:sz w:val="24"/>
          <w:szCs w:val="24"/>
        </w:rPr>
        <w:t>е</w:t>
      </w:r>
      <w:r w:rsidRPr="003A7EAB">
        <w:rPr>
          <w:rFonts w:ascii="Times New Roman" w:hAnsi="Times New Roman"/>
          <w:sz w:val="24"/>
          <w:szCs w:val="24"/>
        </w:rPr>
        <w:t>нию уничтожения, деградации, повреждения и истощения естественных экологических систем и природных ресурсов.</w:t>
      </w:r>
    </w:p>
    <w:p w14:paraId="7B3A6FF6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 xml:space="preserve">Оценкой воздействия рассматривается период с 2026 по 2035 г., включительно. </w:t>
      </w:r>
    </w:p>
    <w:p w14:paraId="0BE62DA7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b/>
          <w:sz w:val="24"/>
          <w:szCs w:val="24"/>
        </w:rPr>
        <w:t xml:space="preserve">Общие сведения о предприятии. </w:t>
      </w:r>
      <w:r w:rsidRPr="003A7EAB">
        <w:rPr>
          <w:rFonts w:ascii="Times New Roman" w:hAnsi="Times New Roman"/>
          <w:sz w:val="24"/>
          <w:szCs w:val="24"/>
        </w:rPr>
        <w:t>ТОО «Казахстанская промышленная компания Дайсен»</w:t>
      </w:r>
    </w:p>
    <w:p w14:paraId="187207C2" w14:textId="77777777" w:rsidR="00507F77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 xml:space="preserve">Почтовый адрес оператора: Z05T2P4, город Астана, район Нұра, пр. Тұран, д. 55/6, кв. 69. Директор: Чен Шучун </w:t>
      </w:r>
    </w:p>
    <w:p w14:paraId="69A057C5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Площадь участка составляет 1,2686 км² (126,86 га).</w:t>
      </w:r>
    </w:p>
    <w:p w14:paraId="4754068B" w14:textId="77777777" w:rsidR="00507F77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Срок начала реализации намечаемой деятельности: 2027-2028 гг.</w:t>
      </w:r>
    </w:p>
    <w:p w14:paraId="7D8BE480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  <w:lang w:val="ru-KZ"/>
        </w:rPr>
      </w:pPr>
      <w:r w:rsidRPr="003A7EAB">
        <w:rPr>
          <w:rFonts w:ascii="Times New Roman" w:hAnsi="Times New Roman"/>
          <w:sz w:val="24"/>
          <w:szCs w:val="24"/>
        </w:rPr>
        <w:t>Административно участок месторождения относится к Шалабайскому и Ауэзовскому сельским округам Жарминского района области Абай. В 2 км северо-восточней от села Шалабай, в 0,9 км северо-западней от села Ауэзов.</w:t>
      </w:r>
    </w:p>
    <w:p w14:paraId="7AC9F2D0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7EAB">
        <w:rPr>
          <w:rFonts w:ascii="Times New Roman" w:hAnsi="Times New Roman"/>
          <w:b/>
          <w:bCs/>
          <w:iCs/>
          <w:sz w:val="24"/>
          <w:szCs w:val="24"/>
        </w:rPr>
        <w:t>Вопросы постутилизации.</w:t>
      </w:r>
      <w:r w:rsidRPr="003A7EA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A7EAB">
        <w:rPr>
          <w:rFonts w:ascii="Times New Roman" w:hAnsi="Times New Roman"/>
          <w:sz w:val="24"/>
          <w:szCs w:val="24"/>
        </w:rPr>
        <w:t>В настоящее время, на участке работ отсутствуют здания, строения, сооружения и оборудования. Земельный участок представлен степной местностью. Работы по постутилизации не требуются.</w:t>
      </w:r>
    </w:p>
    <w:p w14:paraId="3075208E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b/>
          <w:sz w:val="24"/>
          <w:szCs w:val="24"/>
        </w:rPr>
        <w:t xml:space="preserve">Категория занимаемых земель и цели использования. </w:t>
      </w:r>
      <w:r w:rsidRPr="003A7EAB">
        <w:rPr>
          <w:rFonts w:ascii="Times New Roman" w:hAnsi="Times New Roman"/>
          <w:sz w:val="24"/>
          <w:szCs w:val="24"/>
        </w:rPr>
        <w:t xml:space="preserve">Изъятие новых, земель отсутствует, добычные работы будут проводиться в пределах границ горного отвода. </w:t>
      </w:r>
    </w:p>
    <w:p w14:paraId="186EBF54" w14:textId="77777777" w:rsidR="00507F77" w:rsidRPr="003A7EAB" w:rsidRDefault="00507F77" w:rsidP="00507F7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План горных работ предусматривает обоснование рациональной и безопасной схемы освоения месторождения, обеспечивающей эффективное извлечение полезного ископаемого с учётом геолого-гидрогеологических условий, экологических требований и нормативных положений в сфере недропользования</w:t>
      </w:r>
    </w:p>
    <w:p w14:paraId="6BAEC7E3" w14:textId="77777777" w:rsidR="00507F77" w:rsidRPr="003A7EAB" w:rsidRDefault="00507F77" w:rsidP="00507F77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Пашни и лесные насаждения в районе расположения месторождения отсутствуют.</w:t>
      </w:r>
    </w:p>
    <w:p w14:paraId="2B374F85" w14:textId="77777777" w:rsidR="00507F77" w:rsidRDefault="00507F77" w:rsidP="00507F77">
      <w:pPr>
        <w:tabs>
          <w:tab w:val="left" w:pos="6960"/>
        </w:tabs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 xml:space="preserve">Участок расположен в пустынно-степной зоне. Для района характерны светло-каштановые нормальные почвы. На урбанизированных территориях плодородный слой почвы часто нарушен или отсутствует </w:t>
      </w:r>
    </w:p>
    <w:p w14:paraId="03F26521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A7EAB">
        <w:rPr>
          <w:rFonts w:ascii="Times New Roman" w:hAnsi="Times New Roman"/>
          <w:b/>
          <w:sz w:val="24"/>
          <w:szCs w:val="24"/>
        </w:rPr>
        <w:t>Информация о возможных негативных воздействиях.</w:t>
      </w:r>
    </w:p>
    <w:p w14:paraId="051E653B" w14:textId="77777777" w:rsidR="00507F77" w:rsidRPr="003A7EAB" w:rsidRDefault="00507F77" w:rsidP="00507F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KZ"/>
        </w:rPr>
      </w:pPr>
      <w:r w:rsidRPr="003A7EAB">
        <w:rPr>
          <w:rFonts w:ascii="Times New Roman" w:hAnsi="Times New Roman"/>
          <w:b/>
          <w:i/>
          <w:sz w:val="24"/>
          <w:szCs w:val="24"/>
        </w:rPr>
        <w:t>Атмосфера.</w:t>
      </w:r>
      <w:r w:rsidRPr="003A7EAB">
        <w:rPr>
          <w:rFonts w:ascii="Times New Roman" w:hAnsi="Times New Roman"/>
          <w:sz w:val="24"/>
          <w:szCs w:val="24"/>
        </w:rPr>
        <w:t xml:space="preserve"> 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 xml:space="preserve">Всего на рассматриваемой территории будет функционировать </w:t>
      </w:r>
      <w:r>
        <w:rPr>
          <w:rFonts w:ascii="Times New Roman" w:hAnsi="Times New Roman"/>
          <w:sz w:val="24"/>
          <w:szCs w:val="24"/>
          <w:lang w:eastAsia="ru-KZ"/>
        </w:rPr>
        <w:t>14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 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>источников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, в том числе </w:t>
      </w:r>
      <w:r>
        <w:rPr>
          <w:rFonts w:ascii="Times New Roman" w:hAnsi="Times New Roman"/>
          <w:sz w:val="24"/>
          <w:szCs w:val="24"/>
          <w:lang w:eastAsia="ru-KZ"/>
        </w:rPr>
        <w:t>2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 организованный источник и </w:t>
      </w:r>
      <w:r>
        <w:rPr>
          <w:rFonts w:ascii="Times New Roman" w:hAnsi="Times New Roman"/>
          <w:sz w:val="24"/>
          <w:szCs w:val="24"/>
          <w:lang w:eastAsia="ru-KZ"/>
        </w:rPr>
        <w:t>12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 неорганизованных источников.</w:t>
      </w:r>
    </w:p>
    <w:p w14:paraId="7A1E2B6C" w14:textId="77777777" w:rsidR="00507F77" w:rsidRPr="003A7EAB" w:rsidRDefault="00507F77" w:rsidP="00507F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Валовый выброс загрязняющих веществ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7EAB">
        <w:rPr>
          <w:rFonts w:ascii="Times New Roman" w:hAnsi="Times New Roman"/>
          <w:sz w:val="24"/>
          <w:szCs w:val="24"/>
        </w:rPr>
        <w:t>на 2027 год составляет: 0,73029034 г/с, 46,94800965 т/г.</w:t>
      </w:r>
      <w:r w:rsidRPr="003A7EAB">
        <w:t xml:space="preserve"> </w:t>
      </w:r>
      <w:r w:rsidRPr="003A7EAB">
        <w:rPr>
          <w:rFonts w:ascii="Times New Roman" w:hAnsi="Times New Roman"/>
          <w:sz w:val="24"/>
          <w:szCs w:val="24"/>
        </w:rPr>
        <w:t>Итого общий объем выбросов на 2028 год составляет: 0,64581434 г/с, 45,14286089 т/г</w:t>
      </w:r>
      <w:r>
        <w:rPr>
          <w:rFonts w:ascii="Times New Roman" w:hAnsi="Times New Roman"/>
          <w:sz w:val="24"/>
          <w:szCs w:val="24"/>
        </w:rPr>
        <w:t>.</w:t>
      </w:r>
    </w:p>
    <w:p w14:paraId="7274C7C4" w14:textId="77777777" w:rsidR="00507F77" w:rsidRPr="003A7EAB" w:rsidRDefault="00507F77" w:rsidP="00507F77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Как показал анализ, в процессе разведочных работ в атмосферный воздух будет выбрасываться 1</w:t>
      </w:r>
      <w:r>
        <w:rPr>
          <w:rFonts w:ascii="Times New Roman" w:hAnsi="Times New Roman"/>
          <w:sz w:val="24"/>
          <w:szCs w:val="24"/>
        </w:rPr>
        <w:t xml:space="preserve">5 </w:t>
      </w:r>
      <w:r w:rsidRPr="003A7EAB">
        <w:rPr>
          <w:rFonts w:ascii="Times New Roman" w:hAnsi="Times New Roman"/>
          <w:sz w:val="24"/>
          <w:szCs w:val="24"/>
        </w:rPr>
        <w:t>наименований загрязняющих веществ.</w:t>
      </w:r>
    </w:p>
    <w:p w14:paraId="05209C06" w14:textId="77777777" w:rsidR="00507F77" w:rsidRPr="003A7EAB" w:rsidRDefault="00507F77" w:rsidP="00507F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KZ" w:eastAsia="ru-KZ"/>
        </w:rPr>
      </w:pPr>
      <w:r w:rsidRPr="003A7EAB">
        <w:rPr>
          <w:rFonts w:ascii="Times New Roman" w:hAnsi="Times New Roman"/>
          <w:sz w:val="24"/>
          <w:szCs w:val="24"/>
          <w:lang w:val="ru-KZ" w:eastAsia="ru-KZ"/>
        </w:rPr>
        <w:t>Нормативы выбросов установлены по следующим веществам: азота диоксид, азота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 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>оксид, углерод (сажа), серы диоксид, сероводород, углерод оксид, бенз/а/пирен,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 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>формальдегид, углеводороды предельные и пыль неорганическая, содержащая двуокись</w:t>
      </w:r>
      <w:r w:rsidRPr="003A7EAB">
        <w:rPr>
          <w:rFonts w:ascii="Times New Roman" w:hAnsi="Times New Roman"/>
          <w:sz w:val="24"/>
          <w:szCs w:val="24"/>
          <w:lang w:eastAsia="ru-KZ"/>
        </w:rPr>
        <w:t xml:space="preserve"> </w:t>
      </w:r>
      <w:r w:rsidRPr="003A7EAB">
        <w:rPr>
          <w:rFonts w:ascii="Times New Roman" w:hAnsi="Times New Roman"/>
          <w:sz w:val="24"/>
          <w:szCs w:val="24"/>
          <w:lang w:val="ru-KZ" w:eastAsia="ru-KZ"/>
        </w:rPr>
        <w:t>кремния в %: 70-20.</w:t>
      </w:r>
    </w:p>
    <w:p w14:paraId="4F0E425C" w14:textId="77777777" w:rsidR="00507F77" w:rsidRPr="003A7EAB" w:rsidRDefault="00507F77" w:rsidP="00507F77">
      <w:pPr>
        <w:pStyle w:val="51"/>
        <w:tabs>
          <w:tab w:val="left" w:pos="2507"/>
          <w:tab w:val="left" w:pos="4586"/>
          <w:tab w:val="left" w:pos="7064"/>
          <w:tab w:val="left" w:pos="8198"/>
        </w:tabs>
        <w:ind w:left="0" w:firstLine="567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>Нормативное расстояние от источников выбросов до границы санитарно-защитной зоны (СЗЗ) установлено согласно Приложению 1, Разделу 3, Пункту 11, Подпункту 1 СП №237 и составляет не менее 1000 метров для карьеров нерудных строительных материалов.</w:t>
      </w:r>
    </w:p>
    <w:p w14:paraId="71149564" w14:textId="77777777" w:rsidR="00507F77" w:rsidRPr="003A7EAB" w:rsidRDefault="00507F77" w:rsidP="00507F77">
      <w:pPr>
        <w:pStyle w:val="51"/>
        <w:tabs>
          <w:tab w:val="left" w:pos="2507"/>
          <w:tab w:val="left" w:pos="4586"/>
          <w:tab w:val="left" w:pos="7064"/>
          <w:tab w:val="left" w:pos="8198"/>
        </w:tabs>
        <w:ind w:left="0" w:firstLine="567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lastRenderedPageBreak/>
        <w:t>Формирование санитарно-защитной зоны проводилось автоматически с использованием лицензированного программного комплекса «ЭРА 3.0» на основе расчетов рассеивания загрязняющих веществ в атмосфере. Радиус СЗЗ определялся по заданным параметрам источников выбросов.</w:t>
      </w:r>
    </w:p>
    <w:p w14:paraId="3DB41297" w14:textId="77777777" w:rsidR="00507F77" w:rsidRPr="003A7EAB" w:rsidRDefault="00507F77" w:rsidP="00507F77">
      <w:pPr>
        <w:pStyle w:val="51"/>
        <w:tabs>
          <w:tab w:val="left" w:pos="2507"/>
          <w:tab w:val="left" w:pos="4586"/>
          <w:tab w:val="left" w:pos="7064"/>
          <w:tab w:val="left" w:pos="8198"/>
        </w:tabs>
        <w:ind w:left="0" w:firstLine="567"/>
        <w:rPr>
          <w:bCs/>
          <w:sz w:val="24"/>
          <w:szCs w:val="24"/>
        </w:rPr>
      </w:pPr>
      <w:r w:rsidRPr="003A7EAB">
        <w:rPr>
          <w:bCs/>
          <w:sz w:val="24"/>
          <w:szCs w:val="24"/>
        </w:rPr>
        <w:t>Адекватность ширины санитарно-защитной зоны подтверждена расчетами прогнозируемых уровней загрязнения воздуха, выполненными в соответствии с действующими методическими указаниями по расчету рассеивания вредных веществ в атмосфере.</w:t>
      </w:r>
    </w:p>
    <w:p w14:paraId="403A0F09" w14:textId="77777777" w:rsidR="00507F77" w:rsidRDefault="00507F77" w:rsidP="00507F7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7EAB">
        <w:rPr>
          <w:rFonts w:ascii="Times New Roman" w:eastAsia="Times New Roman" w:hAnsi="Times New Roman"/>
          <w:bCs/>
          <w:sz w:val="24"/>
          <w:szCs w:val="24"/>
          <w:lang w:eastAsia="ar-SA"/>
        </w:rPr>
        <w:t>Нормативное расстояние от источников выбросов до границы санитарно-защитной зоны (СЗЗ) установлено согласно Приложению 1, Разделу 3, Пункту 12, Подпункту 1 СП №237 и составляет не менее 1000 метров.</w:t>
      </w:r>
    </w:p>
    <w:p w14:paraId="0E5FA07E" w14:textId="77777777" w:rsidR="00507F77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Местоположение месторождения «</w:t>
      </w:r>
      <w:r>
        <w:rPr>
          <w:rFonts w:ascii="Times New Roman" w:hAnsi="Times New Roman"/>
          <w:sz w:val="24"/>
          <w:szCs w:val="24"/>
        </w:rPr>
        <w:t>Загадка</w:t>
      </w:r>
      <w:r w:rsidRPr="003A7EAB">
        <w:rPr>
          <w:rFonts w:ascii="Times New Roman" w:hAnsi="Times New Roman"/>
          <w:sz w:val="24"/>
          <w:szCs w:val="24"/>
        </w:rPr>
        <w:t>» отвечает необходимым санитарно–гигиеническим требованиям, ближайшая селитебная зона – село Ауэзов и село Шалабай  находится на расстоянии 0,9 км и 2 км соответсвенно от месторождения «Загадка».</w:t>
      </w:r>
    </w:p>
    <w:p w14:paraId="059CBB8C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b/>
          <w:i/>
          <w:sz w:val="24"/>
          <w:szCs w:val="24"/>
        </w:rPr>
        <w:t>Вода.</w:t>
      </w:r>
      <w:r w:rsidRPr="003A7EAB">
        <w:rPr>
          <w:rFonts w:ascii="Times New Roman" w:hAnsi="Times New Roman"/>
          <w:sz w:val="24"/>
          <w:szCs w:val="24"/>
        </w:rPr>
        <w:t xml:space="preserve"> Согласно письму РГУ «Ертисская бассейновая водная инспекция по охране и регулированию использования водных ресурсов» №ЗТ-2026-02360554 от 18.06.2026 на расстоянии около 190 м протекает руч.Холодный ключ, и на расстоянии 324 м протекает руч.Акбастаубулак.</w:t>
      </w:r>
    </w:p>
    <w:p w14:paraId="68D39F0E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В настоящее время проектная документация «Установление  водоохранных хон и полос ручьев Холодный Ключ и Акбастаубулак в пределах месторождения «Загадка» в Жарминском районе области Абай» находится на этапе согласования.</w:t>
      </w:r>
    </w:p>
    <w:p w14:paraId="1989DAF1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 xml:space="preserve">Питьевое водоснабжение. Добычные работы планируется проводить с 2027 по 2028 гг. </w:t>
      </w:r>
    </w:p>
    <w:p w14:paraId="58A116E2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Потребность в технической воде для производственных нужд (промывка шпуров при проходческих и очистных работах) составляет 1 782 м³/месяц, в том числе:</w:t>
      </w:r>
    </w:p>
    <w:p w14:paraId="36F7B2F2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 xml:space="preserve">для проходческих работ – 950,4 м³/месяц; </w:t>
      </w:r>
    </w:p>
    <w:p w14:paraId="5798B565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 xml:space="preserve">для очистной добычи – 831,6 м³/месяц. </w:t>
      </w:r>
    </w:p>
    <w:p w14:paraId="1873C879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 xml:space="preserve">Техническое водоснабжение обеспечивается привозной водой и системой повторного использования очищенных шахтных вод. </w:t>
      </w:r>
    </w:p>
    <w:p w14:paraId="2CDE8933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Питьевое водоснабжение персонала предусматривается привозной бутилированной водой, хозяйственно-бытовое водоснабжение обеспечивается специализированной организацией на договорной основе.</w:t>
      </w:r>
    </w:p>
    <w:p w14:paraId="704228B0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Техническая вода доставляется специализированной организацией на договорной основе; питьевая вода – бутилированная, из ближайших населённых пунктов Ауэзов и Шалабай.</w:t>
      </w:r>
    </w:p>
    <w:p w14:paraId="351FECDC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Все работники должны быть обеспечены водой, удовлетворяющей требованиям ГОСТа «Вода питьевая. Гигиенические требования и контроль за качеством». Расход воды на одного работающего не менее 25л/сут.</w:t>
      </w:r>
    </w:p>
    <w:p w14:paraId="24CE96C1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Водоотведение планируется использованием санитарно-технического оборудования с обязательным подключением к системе сброса отходов в специальные ёмкости, исключающие попадание отходов в окружающую среду.</w:t>
      </w:r>
    </w:p>
    <w:p w14:paraId="247A33FF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Техническое водоснабжение обеспечивается привозной водой и системой повторного использования очищенных шахтных вод, что позволяет сократить потребление свежей воды и минимизировать воздействие на окружающую среду.</w:t>
      </w:r>
    </w:p>
    <w:p w14:paraId="7F2974DB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Водоотведение шахтных вод осуществляется через пруд-накопитель, оснащё-ный системой повторного водоснабжения. Система предназначена для сбора, аккумулирования и дальнейшего использования шахтных вод в технологических целях. Пруд-накопитель обеспечивает уравнение водного потока, осветление и временное хранение воды, после чего очищенные воды направляются на повторное использование в производственном цикле, что снижает потребление свежей воды и минимизирует воздействие на окружающую среду.</w:t>
      </w:r>
    </w:p>
    <w:p w14:paraId="7474F0BD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lastRenderedPageBreak/>
        <w:t>Сброс сточных вод в поверхностные водоемы при извлечении горной массы не предусматривается. Необходимость в оформлении разрешения на специальное водопользование (РСВП) согласно п. 1 ст. 66 Водного кодекса РК отсутствует</w:t>
      </w:r>
    </w:p>
    <w:p w14:paraId="4544742D" w14:textId="77777777" w:rsidR="00507F77" w:rsidRPr="003A7EAB" w:rsidRDefault="00507F77" w:rsidP="00507F77">
      <w:pPr>
        <w:spacing w:after="0" w:line="240" w:lineRule="auto"/>
        <w:rPr>
          <w:szCs w:val="24"/>
        </w:rPr>
      </w:pPr>
      <w:r w:rsidRPr="003A7EAB">
        <w:rPr>
          <w:b/>
          <w:bCs/>
          <w:i/>
          <w:szCs w:val="24"/>
          <w:u w:val="single"/>
        </w:rPr>
        <w:t>Почвы.</w:t>
      </w:r>
      <w:r w:rsidRPr="003A7EAB">
        <w:rPr>
          <w:b/>
          <w:bCs/>
          <w:i/>
          <w:szCs w:val="24"/>
        </w:rPr>
        <w:t xml:space="preserve"> </w:t>
      </w:r>
      <w:r w:rsidRPr="003A7EAB">
        <w:rPr>
          <w:szCs w:val="24"/>
        </w:rPr>
        <w:t>Участок расположен в пустынно-степной зоне. Для района характерны светло-каштановые нормальные почвы. На урбанизированных территориях плодородный слой почвы часто нарушен или отсутствует</w:t>
      </w:r>
    </w:p>
    <w:p w14:paraId="6E29C361" w14:textId="77777777" w:rsidR="00507F77" w:rsidRDefault="00507F77" w:rsidP="00507F77">
      <w:pPr>
        <w:pStyle w:val="210"/>
        <w:rPr>
          <w:szCs w:val="24"/>
        </w:rPr>
      </w:pPr>
      <w:r w:rsidRPr="003A7EAB">
        <w:rPr>
          <w:b/>
          <w:bCs/>
          <w:i/>
          <w:szCs w:val="24"/>
          <w:u w:val="single"/>
        </w:rPr>
        <w:t>Растительность</w:t>
      </w:r>
      <w:r w:rsidRPr="003A7EAB">
        <w:rPr>
          <w:b/>
          <w:bCs/>
          <w:i/>
          <w:szCs w:val="24"/>
        </w:rPr>
        <w:t>.</w:t>
      </w:r>
      <w:r w:rsidRPr="003A7EAB">
        <w:rPr>
          <w:szCs w:val="24"/>
        </w:rPr>
        <w:t xml:space="preserve"> Растительность района носит степной характер. Склоны холмов покрыты жесткими травами и карагайником. По берегам рек и ручьев развиты заросли тальника, шиповника. Долины реки, особенно пойменные участки, покрыты луговыми травами и используются под сенокосы. В период реализации проекта и по ее окончанию, изменения в растительном покрове не ожидаются. В связи с чем, рекомендации по сохранению растительных сообществ, улучшению их состояния, сохранению и воспроизводству флоры, предложения для мониторинга растительного покрова в рамках настоящего проекта не разрабатываются. Проектом не предусматривается снос зеленых насаждений. Усиления отрицательного воздействия на растительный покров не происходит, так как деятельность будет осуществляется без использования каких-либо химических реагентов. В плане мероприятий по охране окружающей среды будет предусмотрено соблюдение санитарно-эпидемиологических требований к санитарно-защитным зонам объектов, являющихся объектами воздействия на среду обитания и здоровье человека», утвержденных приказом Министра национальной экономики РК от 11 января 2022 года № ҚР ДСМ-2 пункта </w:t>
      </w:r>
      <w:proofErr w:type="gramStart"/>
      <w:r w:rsidRPr="003A7EAB">
        <w:rPr>
          <w:szCs w:val="24"/>
        </w:rPr>
        <w:t>50,которые</w:t>
      </w:r>
      <w:proofErr w:type="gramEnd"/>
      <w:r w:rsidRPr="003A7EAB">
        <w:rPr>
          <w:szCs w:val="24"/>
        </w:rPr>
        <w:t xml:space="preserve"> предусматривают обязательную организацию полосы древеснокустарниковых насаждений со стороны жилой застройки.</w:t>
      </w:r>
    </w:p>
    <w:p w14:paraId="533942B1" w14:textId="77777777" w:rsidR="00507F77" w:rsidRDefault="00507F77" w:rsidP="00507F77">
      <w:pPr>
        <w:pStyle w:val="210"/>
        <w:rPr>
          <w:szCs w:val="24"/>
        </w:rPr>
      </w:pPr>
      <w:r w:rsidRPr="003A7EAB">
        <w:rPr>
          <w:b/>
          <w:bCs/>
          <w:i/>
          <w:szCs w:val="24"/>
          <w:u w:val="single"/>
        </w:rPr>
        <w:t xml:space="preserve"> Животный мир.</w:t>
      </w:r>
      <w:r w:rsidRPr="003A7EAB">
        <w:rPr>
          <w:i/>
          <w:szCs w:val="24"/>
        </w:rPr>
        <w:t xml:space="preserve"> </w:t>
      </w:r>
      <w:r w:rsidRPr="003A7EAB">
        <w:rPr>
          <w:szCs w:val="24"/>
        </w:rPr>
        <w:t>В письме РГУ "Областная территориальная инспекция лесного хозяйства и животногомира по области Абай Комитета лесного хозяйства и животного мира Министерства Экологии и природных ресурсов Республики Казахстан" №ЗТ-2026-02339015 от 16.06.2026, сказано, что согласно письму РГКП «Казахское лесоустроительное предприятие» (№ 04-02-05/1386 от 12.06.2026 г.) и РГУ «ГЛПР «Семей орманы» (№ 15-09/1042 от 12.06.2026 г.), участок намечаемой деятельности расположен за пределами земель государственного лесного фонда и особо охраняемых природных территории со статусом юридического лица. – согласно информации РГКП «ПО Охотзоопром» (№ 13-12/1333 от 15.06.2026 г.) проектируемый участок не является местами обитания и путями миграции редких и исчезающих копытных животных, занесенных в Красную Книгу РК. (Приложение 6)</w:t>
      </w:r>
    </w:p>
    <w:p w14:paraId="56C07437" w14:textId="77777777" w:rsidR="00507F77" w:rsidRPr="003A7EAB" w:rsidRDefault="00507F77" w:rsidP="00507F77">
      <w:pPr>
        <w:pStyle w:val="210"/>
        <w:rPr>
          <w:szCs w:val="24"/>
        </w:rPr>
      </w:pPr>
      <w:r w:rsidRPr="003A7EAB">
        <w:rPr>
          <w:b/>
          <w:i/>
          <w:szCs w:val="24"/>
        </w:rPr>
        <w:t>Физические воздействия</w:t>
      </w:r>
      <w:r w:rsidRPr="003A7EAB">
        <w:rPr>
          <w:i/>
          <w:szCs w:val="24"/>
        </w:rPr>
        <w:t>.</w:t>
      </w:r>
      <w:r w:rsidRPr="003A7EAB">
        <w:rPr>
          <w:szCs w:val="24"/>
        </w:rPr>
        <w:t xml:space="preserve"> Согласно Гигиеническим нормативам уровней шума на раб</w:t>
      </w:r>
      <w:r w:rsidRPr="003A7EAB">
        <w:rPr>
          <w:szCs w:val="24"/>
        </w:rPr>
        <w:t>о</w:t>
      </w:r>
      <w:r w:rsidRPr="003A7EAB">
        <w:rPr>
          <w:szCs w:val="24"/>
        </w:rPr>
        <w:t>чих местах, допустимый эквивалентный уровень шума для территории предприятия с постоянными рабочими местами составляет 80 дБ, а максимальный эквивалентный ур</w:t>
      </w:r>
      <w:r w:rsidRPr="003A7EAB">
        <w:rPr>
          <w:szCs w:val="24"/>
        </w:rPr>
        <w:t>о</w:t>
      </w:r>
      <w:r w:rsidRPr="003A7EAB">
        <w:rPr>
          <w:szCs w:val="24"/>
        </w:rPr>
        <w:t>вень 95 дБ. Проектом применено горно – транспортное оборудование, обеспечивающее ур</w:t>
      </w:r>
      <w:r w:rsidRPr="003A7EAB">
        <w:rPr>
          <w:szCs w:val="24"/>
        </w:rPr>
        <w:t>о</w:t>
      </w:r>
      <w:r w:rsidRPr="003A7EAB">
        <w:rPr>
          <w:szCs w:val="24"/>
        </w:rPr>
        <w:t>вень звука на рабочих местах, не превышающий 95 дБ. При удалении от источника шума на расстояние до 200 метров происходит быстрое затухание шума.</w:t>
      </w:r>
    </w:p>
    <w:p w14:paraId="30373BBF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 xml:space="preserve">Так как период работ непродолжительный и участок ведения работ достаточно удален от ближайшего населенного пункта – с. </w:t>
      </w:r>
      <w:r>
        <w:rPr>
          <w:rFonts w:ascii="Times New Roman" w:hAnsi="Times New Roman"/>
          <w:sz w:val="24"/>
          <w:szCs w:val="24"/>
        </w:rPr>
        <w:t>Ауэзов и село Шалабай</w:t>
      </w:r>
      <w:r w:rsidRPr="003A7EAB">
        <w:rPr>
          <w:rFonts w:ascii="Times New Roman" w:hAnsi="Times New Roman"/>
          <w:sz w:val="24"/>
          <w:szCs w:val="24"/>
        </w:rPr>
        <w:t xml:space="preserve"> на расстоянии </w:t>
      </w:r>
      <w:r>
        <w:rPr>
          <w:rFonts w:ascii="Times New Roman" w:hAnsi="Times New Roman"/>
          <w:sz w:val="24"/>
          <w:szCs w:val="24"/>
        </w:rPr>
        <w:t>0,9км  и 2</w:t>
      </w:r>
      <w:r w:rsidRPr="003A7EAB">
        <w:rPr>
          <w:rFonts w:ascii="Times New Roman" w:hAnsi="Times New Roman"/>
          <w:sz w:val="24"/>
          <w:szCs w:val="24"/>
        </w:rPr>
        <w:t xml:space="preserve"> км </w:t>
      </w:r>
      <w:r>
        <w:rPr>
          <w:rFonts w:ascii="Times New Roman" w:hAnsi="Times New Roman"/>
          <w:sz w:val="24"/>
          <w:szCs w:val="24"/>
        </w:rPr>
        <w:t xml:space="preserve">соответсвтенно, </w:t>
      </w:r>
      <w:r w:rsidRPr="003A7EAB">
        <w:rPr>
          <w:rFonts w:ascii="Times New Roman" w:hAnsi="Times New Roman"/>
          <w:sz w:val="24"/>
          <w:szCs w:val="24"/>
        </w:rPr>
        <w:t>мер</w:t>
      </w:r>
      <w:r w:rsidRPr="003A7EAB">
        <w:rPr>
          <w:rFonts w:ascii="Times New Roman" w:hAnsi="Times New Roman"/>
          <w:sz w:val="24"/>
          <w:szCs w:val="24"/>
        </w:rPr>
        <w:t>о</w:t>
      </w:r>
      <w:r w:rsidRPr="003A7EAB">
        <w:rPr>
          <w:rFonts w:ascii="Times New Roman" w:hAnsi="Times New Roman"/>
          <w:sz w:val="24"/>
          <w:szCs w:val="24"/>
        </w:rPr>
        <w:t xml:space="preserve">приятия по защите от шума в проекте не предусматриваются. </w:t>
      </w:r>
    </w:p>
    <w:p w14:paraId="51FBD917" w14:textId="77777777" w:rsidR="00507F77" w:rsidRPr="003A7EAB" w:rsidRDefault="00507F77" w:rsidP="00507F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b/>
          <w:i/>
          <w:sz w:val="24"/>
          <w:szCs w:val="24"/>
        </w:rPr>
        <w:t>Радиационные воздействия</w:t>
      </w:r>
      <w:r w:rsidRPr="003A7EAB">
        <w:rPr>
          <w:rFonts w:ascii="Times New Roman" w:hAnsi="Times New Roman"/>
          <w:i/>
          <w:sz w:val="24"/>
          <w:szCs w:val="24"/>
        </w:rPr>
        <w:t>.</w:t>
      </w:r>
      <w:r w:rsidRPr="003A7EAB">
        <w:rPr>
          <w:rFonts w:ascii="Times New Roman" w:hAnsi="Times New Roman"/>
          <w:sz w:val="24"/>
          <w:szCs w:val="24"/>
        </w:rPr>
        <w:t xml:space="preserve"> </w:t>
      </w:r>
      <w:r w:rsidRPr="003A7EAB">
        <w:rPr>
          <w:rFonts w:ascii="Times New Roman" w:hAnsi="Times New Roman"/>
          <w:iCs/>
          <w:sz w:val="24"/>
          <w:szCs w:val="24"/>
        </w:rPr>
        <w:t>У</w:t>
      </w:r>
      <w:r w:rsidRPr="003A7EAB">
        <w:rPr>
          <w:rFonts w:ascii="Times New Roman" w:hAnsi="Times New Roman"/>
          <w:sz w:val="24"/>
          <w:szCs w:val="24"/>
        </w:rPr>
        <w:t>часток планируемых горных работ не является объектом с повышенным радиационным фоном, на объекте не используются источники радиационного излучения.</w:t>
      </w:r>
    </w:p>
    <w:p w14:paraId="45C424DE" w14:textId="77777777" w:rsidR="00507F77" w:rsidRPr="003A7EAB" w:rsidRDefault="00507F77" w:rsidP="00507F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Радиационная обстановка в районе работ благополучна, природные и техногенные источников радиационного загрязнения отсутствует.</w:t>
      </w:r>
    </w:p>
    <w:p w14:paraId="10C72681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3A7EAB">
        <w:rPr>
          <w:rFonts w:ascii="Times New Roman" w:hAnsi="Times New Roman"/>
          <w:b/>
          <w:i/>
          <w:sz w:val="24"/>
          <w:szCs w:val="24"/>
        </w:rPr>
        <w:t>Отходы производства и потребления</w:t>
      </w:r>
      <w:r w:rsidRPr="003A7EAB">
        <w:rPr>
          <w:rFonts w:ascii="Times New Roman" w:hAnsi="Times New Roman"/>
          <w:i/>
          <w:sz w:val="24"/>
          <w:szCs w:val="24"/>
        </w:rPr>
        <w:t>.</w:t>
      </w:r>
      <w:r w:rsidRPr="003A7EAB">
        <w:rPr>
          <w:rFonts w:ascii="Times New Roman" w:hAnsi="Times New Roman"/>
          <w:sz w:val="24"/>
          <w:szCs w:val="24"/>
        </w:rPr>
        <w:t xml:space="preserve"> </w:t>
      </w:r>
      <w:r w:rsidRPr="003A7EAB">
        <w:rPr>
          <w:rFonts w:ascii="Times New Roman" w:hAnsi="Times New Roman"/>
          <w:sz w:val="24"/>
          <w:szCs w:val="24"/>
          <w:lang w:eastAsia="ar-SA"/>
        </w:rPr>
        <w:t xml:space="preserve">В процессе осуществления намечаемой деятельности образуются следующие виды отходов: твердые бытовые отходы (смешанные коммунальные отходы) – 13,950 т/год, металлический лом – 0,986 т/год, промасленная ветошь – 1,530 т/год, огарки сварочных электродов – 0,495 т/год, отработанные масла – 1,87 т/год, отработанные автомобильные шины – 1,42 т/год, отработанные шахтные головные </w:t>
      </w:r>
      <w:r w:rsidRPr="003A7EAB">
        <w:rPr>
          <w:rFonts w:ascii="Times New Roman" w:hAnsi="Times New Roman"/>
          <w:sz w:val="24"/>
          <w:szCs w:val="24"/>
          <w:lang w:eastAsia="ar-SA"/>
        </w:rPr>
        <w:lastRenderedPageBreak/>
        <w:t>светильники – 0,087 т/год, отработанные шахтные самоспасатели – 0,269 т/год, вмещающие породы – 79 203,76 т/год.</w:t>
      </w:r>
    </w:p>
    <w:p w14:paraId="431CCBC6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  <w:lang w:eastAsia="ar-SA"/>
        </w:rPr>
        <w:t>Предпогаемый общий объем образования отходов на 2027-2028гг. составит  79 224,367 тонн</w:t>
      </w:r>
      <w:r w:rsidRPr="003A7EAB">
        <w:rPr>
          <w:rFonts w:ascii="Times New Roman" w:hAnsi="Times New Roman"/>
          <w:color w:val="000000"/>
          <w:sz w:val="24"/>
          <w:szCs w:val="24"/>
        </w:rPr>
        <w:t>.</w:t>
      </w:r>
    </w:p>
    <w:p w14:paraId="42C24B83" w14:textId="77777777" w:rsidR="00507F77" w:rsidRPr="003A7EAB" w:rsidRDefault="00507F77" w:rsidP="00507F77">
      <w:pPr>
        <w:spacing w:after="0"/>
        <w:rPr>
          <w:color w:val="000000"/>
        </w:rPr>
      </w:pPr>
      <w:r w:rsidRPr="003A7EAB">
        <w:rPr>
          <w:rFonts w:ascii="Times New Roman" w:hAnsi="Times New Roman"/>
          <w:b/>
          <w:sz w:val="24"/>
          <w:szCs w:val="24"/>
          <w:lang w:eastAsia="ru-RU"/>
        </w:rPr>
        <w:t xml:space="preserve">Оценка воздействия на состояние экологической системы. </w:t>
      </w:r>
    </w:p>
    <w:p w14:paraId="32D7BF9A" w14:textId="77777777" w:rsidR="00507F77" w:rsidRPr="003A7EAB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A7EAB">
        <w:rPr>
          <w:rFonts w:ascii="Times New Roman" w:hAnsi="Times New Roman"/>
          <w:sz w:val="24"/>
          <w:szCs w:val="24"/>
        </w:rPr>
        <w:t>Согласно произведенным расчетам, в процессе проведения горных работ в оцениваемый период с 202</w:t>
      </w:r>
      <w:r>
        <w:rPr>
          <w:rFonts w:ascii="Times New Roman" w:hAnsi="Times New Roman"/>
          <w:sz w:val="24"/>
          <w:szCs w:val="24"/>
        </w:rPr>
        <w:t>7</w:t>
      </w:r>
      <w:r w:rsidRPr="003A7EAB">
        <w:rPr>
          <w:rFonts w:ascii="Times New Roman" w:hAnsi="Times New Roman"/>
          <w:sz w:val="24"/>
          <w:szCs w:val="24"/>
        </w:rPr>
        <w:t xml:space="preserve"> по 20</w:t>
      </w:r>
      <w:r>
        <w:rPr>
          <w:rFonts w:ascii="Times New Roman" w:hAnsi="Times New Roman"/>
          <w:sz w:val="24"/>
          <w:szCs w:val="24"/>
        </w:rPr>
        <w:t>28</w:t>
      </w:r>
      <w:r w:rsidRPr="003A7EAB">
        <w:rPr>
          <w:rFonts w:ascii="Times New Roman" w:hAnsi="Times New Roman"/>
          <w:sz w:val="24"/>
          <w:szCs w:val="24"/>
        </w:rPr>
        <w:t xml:space="preserve"> гг., на окружающую среду района размещения пре</w:t>
      </w:r>
      <w:r w:rsidRPr="003A7EAB">
        <w:rPr>
          <w:rFonts w:ascii="Times New Roman" w:hAnsi="Times New Roman"/>
          <w:sz w:val="24"/>
          <w:szCs w:val="24"/>
        </w:rPr>
        <w:t>д</w:t>
      </w:r>
      <w:r w:rsidRPr="003A7EAB">
        <w:rPr>
          <w:rFonts w:ascii="Times New Roman" w:hAnsi="Times New Roman"/>
          <w:sz w:val="24"/>
          <w:szCs w:val="24"/>
        </w:rPr>
        <w:t xml:space="preserve">приятия будет оказываться воздействие низкой значимости. </w:t>
      </w:r>
    </w:p>
    <w:p w14:paraId="19DE36B6" w14:textId="77777777" w:rsidR="00507F77" w:rsidRPr="00480136" w:rsidRDefault="00507F77" w:rsidP="00507F77">
      <w:pPr>
        <w:pStyle w:val="ac"/>
        <w:spacing w:after="0"/>
        <w:ind w:left="0"/>
        <w:rPr>
          <w:szCs w:val="24"/>
        </w:rPr>
      </w:pPr>
      <w:r w:rsidRPr="003A7EAB">
        <w:rPr>
          <w:szCs w:val="24"/>
        </w:rPr>
        <w:t xml:space="preserve"> Воздействие на </w:t>
      </w:r>
      <w:r w:rsidRPr="003A7EAB">
        <w:rPr>
          <w:szCs w:val="24"/>
          <w:lang w:eastAsia="ru-RU"/>
        </w:rPr>
        <w:t xml:space="preserve">население ближайшей к </w:t>
      </w:r>
      <w:r w:rsidRPr="003A7EAB">
        <w:rPr>
          <w:szCs w:val="24"/>
          <w:lang w:val="ru-RU" w:eastAsia="ru-RU"/>
        </w:rPr>
        <w:t xml:space="preserve">участку </w:t>
      </w:r>
      <w:r w:rsidRPr="003A7EAB">
        <w:rPr>
          <w:szCs w:val="24"/>
          <w:lang w:eastAsia="ru-RU"/>
        </w:rPr>
        <w:t>селитебной зоны (</w:t>
      </w:r>
      <w:r w:rsidRPr="003A7EAB">
        <w:rPr>
          <w:szCs w:val="24"/>
          <w:lang w:val="ru-RU" w:eastAsia="ru-RU"/>
        </w:rPr>
        <w:t xml:space="preserve">село </w:t>
      </w:r>
      <w:r>
        <w:rPr>
          <w:szCs w:val="24"/>
          <w:lang w:val="ru-RU" w:eastAsia="ru-RU"/>
        </w:rPr>
        <w:t>Ауэзов и село Шалабай</w:t>
      </w:r>
      <w:r w:rsidRPr="003A7EAB">
        <w:rPr>
          <w:szCs w:val="24"/>
          <w:lang w:val="ru-RU" w:eastAsia="ru-RU"/>
        </w:rPr>
        <w:t>)</w:t>
      </w:r>
      <w:r w:rsidRPr="003A7EAB">
        <w:rPr>
          <w:szCs w:val="24"/>
          <w:lang w:eastAsia="ru-RU"/>
        </w:rPr>
        <w:t xml:space="preserve">, расположенной на расстоянии </w:t>
      </w:r>
      <w:r>
        <w:rPr>
          <w:szCs w:val="24"/>
          <w:lang w:val="ru-RU" w:eastAsia="ru-RU"/>
        </w:rPr>
        <w:t>0,9км и 2км</w:t>
      </w:r>
      <w:r w:rsidRPr="003A7EAB">
        <w:rPr>
          <w:szCs w:val="24"/>
          <w:lang w:val="ru-RU" w:eastAsia="ru-RU"/>
        </w:rPr>
        <w:t xml:space="preserve"> </w:t>
      </w:r>
      <w:r w:rsidRPr="003A7EAB">
        <w:rPr>
          <w:szCs w:val="24"/>
          <w:lang w:eastAsia="ru-RU"/>
        </w:rPr>
        <w:t>км</w:t>
      </w:r>
      <w:r w:rsidRPr="003A7EAB">
        <w:rPr>
          <w:szCs w:val="24"/>
          <w:lang w:val="ru-RU" w:eastAsia="ru-RU"/>
        </w:rPr>
        <w:t xml:space="preserve"> </w:t>
      </w:r>
      <w:r w:rsidRPr="003A7EAB">
        <w:rPr>
          <w:szCs w:val="24"/>
          <w:lang w:eastAsia="ru-RU"/>
        </w:rPr>
        <w:t xml:space="preserve">от него, будет находиться на допустимом уровне. </w:t>
      </w:r>
      <w:r w:rsidRPr="003A7EAB">
        <w:rPr>
          <w:szCs w:val="24"/>
        </w:rPr>
        <w:t xml:space="preserve">Экологический риск и риск для здоровья населения при </w:t>
      </w:r>
      <w:r w:rsidRPr="003A7EAB">
        <w:rPr>
          <w:szCs w:val="24"/>
          <w:lang w:val="ru-RU"/>
        </w:rPr>
        <w:t>проведении горных работ на месторождении «</w:t>
      </w:r>
      <w:r>
        <w:rPr>
          <w:szCs w:val="24"/>
          <w:lang w:val="ru-RU"/>
        </w:rPr>
        <w:t>Загадка</w:t>
      </w:r>
      <w:r w:rsidRPr="003A7EAB">
        <w:rPr>
          <w:szCs w:val="24"/>
          <w:lang w:val="ru-RU"/>
        </w:rPr>
        <w:t>»</w:t>
      </w:r>
      <w:r w:rsidRPr="003A7EAB">
        <w:rPr>
          <w:szCs w:val="24"/>
        </w:rPr>
        <w:t xml:space="preserve"> будут минимальными.</w:t>
      </w:r>
    </w:p>
    <w:p w14:paraId="7CE5ADB2" w14:textId="77777777" w:rsidR="00507F77" w:rsidRPr="00480136" w:rsidRDefault="00507F77" w:rsidP="00507F77">
      <w:pPr>
        <w:pStyle w:val="2"/>
        <w:ind w:firstLine="709"/>
        <w:jc w:val="both"/>
        <w:rPr>
          <w:szCs w:val="24"/>
        </w:rPr>
      </w:pPr>
    </w:p>
    <w:p w14:paraId="12456DBE" w14:textId="77777777" w:rsidR="00507F77" w:rsidRPr="00480136" w:rsidRDefault="00507F77" w:rsidP="00507F77">
      <w:pPr>
        <w:pStyle w:val="2"/>
        <w:ind w:firstLine="709"/>
        <w:jc w:val="both"/>
        <w:rPr>
          <w:szCs w:val="24"/>
        </w:rPr>
      </w:pPr>
    </w:p>
    <w:p w14:paraId="0C8FD10B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533D42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61D18A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B05654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EC9B06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40C18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50E988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1BE711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7C36C9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4EC563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75748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DC49B6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049BD1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DA6C75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7F7B94" w14:textId="77777777" w:rsidR="00507F77" w:rsidRPr="00480136" w:rsidRDefault="00507F77" w:rsidP="00507F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B4A3A6" w14:textId="77777777" w:rsidR="00507F77" w:rsidRPr="00480136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F6EAB3" w14:textId="77777777" w:rsidR="00507F77" w:rsidRPr="00480136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96B53B" w14:textId="77777777" w:rsidR="00507F77" w:rsidRPr="00480136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2B3A155" w14:textId="77777777" w:rsidR="00507F77" w:rsidRPr="00480136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40E7F6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0F970C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2226734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DDE013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EA1CDB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61E33D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C57615E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3F348F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D00A85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306F7B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316906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96CC85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30CCC8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2CCC8F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B035E6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106D44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3CAE72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7FD1A63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3EA3309" w14:textId="77777777" w:rsidR="00507F77" w:rsidRDefault="00507F77" w:rsidP="00507F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D528B8" w14:textId="77777777" w:rsidR="009549CA" w:rsidRDefault="009549CA"/>
    <w:sectPr w:rsidR="00954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1B"/>
    <w:rsid w:val="00235F0C"/>
    <w:rsid w:val="00400B6C"/>
    <w:rsid w:val="00507F77"/>
    <w:rsid w:val="00875C1B"/>
    <w:rsid w:val="0095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F8F02"/>
  <w15:chartTrackingRefBased/>
  <w15:docId w15:val="{C2092C48-B938-4343-9D52-19F0F2487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F77"/>
    <w:pPr>
      <w:spacing w:after="200" w:line="276" w:lineRule="auto"/>
      <w:ind w:firstLine="709"/>
      <w:jc w:val="both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75C1B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aliases w:val="Заголовок 2 Знак1,Заголовок 2 Знак Знак"/>
    <w:basedOn w:val="a"/>
    <w:next w:val="a"/>
    <w:link w:val="20"/>
    <w:uiPriority w:val="9"/>
    <w:unhideWhenUsed/>
    <w:qFormat/>
    <w:rsid w:val="00875C1B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C1B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C1B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C1B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C1B"/>
    <w:pPr>
      <w:keepNext/>
      <w:keepLines/>
      <w:spacing w:before="40" w:after="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C1B"/>
    <w:pPr>
      <w:keepNext/>
      <w:keepLines/>
      <w:spacing w:before="40" w:after="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C1B"/>
    <w:pPr>
      <w:keepNext/>
      <w:keepLines/>
      <w:spacing w:after="0"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C1B"/>
    <w:pPr>
      <w:keepNext/>
      <w:keepLines/>
      <w:spacing w:after="0"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aliases w:val="Заголовок 2 Знак1 Знак,Заголовок 2 Знак Знак Знак"/>
    <w:basedOn w:val="a0"/>
    <w:link w:val="2"/>
    <w:uiPriority w:val="9"/>
    <w:rsid w:val="00875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5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5C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5C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5C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5C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5C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5C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5C1B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75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5C1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75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5C1B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75C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5C1B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875C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5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75C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5C1B"/>
    <w:rPr>
      <w:b/>
      <w:bCs/>
      <w:smallCaps/>
      <w:color w:val="0F4761" w:themeColor="accent1" w:themeShade="BF"/>
      <w:spacing w:val="5"/>
    </w:rPr>
  </w:style>
  <w:style w:type="paragraph" w:styleId="ac">
    <w:name w:val="Body Text Indent"/>
    <w:aliases w:val="Список1"/>
    <w:basedOn w:val="a"/>
    <w:link w:val="ad"/>
    <w:unhideWhenUsed/>
    <w:rsid w:val="00507F7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ad">
    <w:name w:val="Основной текст с отступом Знак"/>
    <w:aliases w:val="Список1 Знак"/>
    <w:basedOn w:val="a0"/>
    <w:link w:val="ac"/>
    <w:rsid w:val="00507F77"/>
    <w:rPr>
      <w:rFonts w:ascii="Times New Roman" w:eastAsia="Times New Roman" w:hAnsi="Times New Roman" w:cs="Times New Roman"/>
      <w:kern w:val="0"/>
      <w:szCs w:val="20"/>
      <w:lang w:val="x-none" w:eastAsia="ar-SA"/>
      <w14:ligatures w14:val="none"/>
    </w:rPr>
  </w:style>
  <w:style w:type="paragraph" w:customStyle="1" w:styleId="210">
    <w:name w:val="Основной текст 21"/>
    <w:basedOn w:val="a"/>
    <w:rsid w:val="00507F77"/>
    <w:pPr>
      <w:spacing w:before="60" w:after="40" w:line="240" w:lineRule="auto"/>
      <w:ind w:firstLine="72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51">
    <w:name w:val="toc 5"/>
    <w:basedOn w:val="a"/>
    <w:next w:val="a"/>
    <w:uiPriority w:val="39"/>
    <w:rsid w:val="00507F77"/>
    <w:pPr>
      <w:spacing w:after="0" w:line="240" w:lineRule="auto"/>
      <w:ind w:left="800"/>
    </w:pPr>
    <w:rPr>
      <w:rFonts w:ascii="Times New Roman" w:eastAsia="Times New Roman" w:hAnsi="Times New Roman"/>
      <w:sz w:val="20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1689</Words>
  <Characters>9628</Characters>
  <Application>Microsoft Office Word</Application>
  <DocSecurity>0</DocSecurity>
  <Lines>80</Lines>
  <Paragraphs>22</Paragraphs>
  <ScaleCrop>false</ScaleCrop>
  <Company/>
  <LinksUpToDate>false</LinksUpToDate>
  <CharactersWithSpaces>11295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Атамбаева Айнур</dc:creator>
  <cp:keywords/>
  <dc:description/>
  <cp:lastModifiedBy>Атамбаева Айнур</cp:lastModifiedBy>
  <cp:revision>2</cp:revision>
  <dcterms:created xsi:type="dcterms:W3CDTF">2026-09-03T06:46:00Z</dcterms:created>
  <dcterms:modified xsi:type="dcterms:W3CDTF">2026-09-03T06:46:00Z</dcterms:modified>
</cp:coreProperties>
</file>