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32"/>
        </w:rPr>
        <w:t>НЕТЕХНИЧЕСКОЕ РЕЗЮМЕ</w:t>
      </w:r>
    </w:p>
    <w:p>
      <w:pPr>
        <w:jc w:val="center"/>
      </w:pPr>
      <w:r>
        <w:rPr>
          <w:b/>
          <w:sz w:val="28"/>
        </w:rPr>
        <w:t>к материалам, выносимым на общественные слушания</w:t>
        <w:br/>
        <w:t>ТОО «Каракудукмунай»</w:t>
      </w:r>
    </w:p>
    <w:p>
      <w:pPr>
        <w:jc w:val="center"/>
      </w:pPr>
      <w:r>
        <w:rPr>
          <w:i/>
        </w:rPr>
        <w:t>Месторождение Каракудук, 2027 год</w:t>
      </w:r>
    </w:p>
    <w:p>
      <w:pPr>
        <w:pStyle w:val="Heading1"/>
      </w:pPr>
      <w:r>
        <w:t>1. Общая информация</w:t>
      </w:r>
    </w:p>
    <w:p>
      <w:pPr>
        <w:spacing w:after="120" w:line="276" w:lineRule="auto"/>
        <w:ind w:firstLine="709"/>
      </w:pPr>
      <w:r>
        <w:t>Настоящее нетехническое резюме подготовлено для ознакомления общественности с основными экологическими аспектами деятельности ТОО «Каракудукмунай» и материалами, выносимыми на общественные слушания. Информация изложена в доступной форме и отражает основные виды воздействия на окружающую среду, предусмотренные нормативы эмиссий, обращение с отходами и меры экологического контроля.</w:t>
      </w:r>
    </w:p>
    <w:p>
      <w:pPr>
        <w:spacing w:after="120" w:line="276" w:lineRule="auto"/>
        <w:ind w:firstLine="709"/>
      </w:pPr>
      <w:r>
        <w:t>На общественные слушания выносятся: проект нормативов допустимых выбросов для ТОО «Каракудукмунай» на 2027 год; проект нормативов допустимых сбросов (НДС) на 2027 год; Программа управления отходами (ПУО); Программа производственного экологического контроля (ПЭК); План природоохранных мероприятий (ППМ); разделы «Охрана окружающей среды» к проектам «Перевод нагнетательных линий скважин в добывающий фонд скважин по программе 2026 года на месторождении Каракудук» и «Обустройство устьев существующих добывающих скважин под станки-качалки по программе 2025–2026 гг. на месторождении Каракудук».</w:t>
      </w:r>
    </w:p>
    <w:p>
      <w:pPr>
        <w:spacing w:after="120" w:line="276" w:lineRule="auto"/>
        <w:ind w:firstLine="709"/>
      </w:pPr>
      <w:r>
        <w:t>Заказчик — ТОО «Каракудукмунай». Основной вид деятельности предприятия — добыча сырой нефти и ее подготовка до товарной продукции. Объект относится к I категории. Месторождение Каракудук расположено в Мангистауском районе Мангистауской области Республики Казахстан.</w:t>
      </w:r>
    </w:p>
    <w:p>
      <w:pPr>
        <w:spacing w:after="120" w:line="276" w:lineRule="auto"/>
        <w:ind w:firstLine="709"/>
      </w:pPr>
      <w:r>
        <w:t>Юридический адрес ТОО «Каракудукмунай»: Республика Казахстан, 130000, Мангистауская область, г. Актау, 3 микрорайон, дом 81. БИН 060440002942. Генеральный директор — Цю Гуаньюань.</w:t>
      </w:r>
    </w:p>
    <w:p>
      <w:pPr>
        <w:pStyle w:val="Heading1"/>
      </w:pPr>
      <w:r>
        <w:t>2. Краткая характеристика деятельности</w:t>
      </w:r>
    </w:p>
    <w:p>
      <w:pPr>
        <w:spacing w:after="120" w:line="276" w:lineRule="auto"/>
        <w:ind w:firstLine="709"/>
      </w:pPr>
      <w:r>
        <w:t>Производственная деятельность осуществляется на нефтяном месторождении Каракудук. Технологический процесс включает добычу углеводородного сырья, сбор продукции скважин, подготовку нефти, газа и пластовой воды, хранение и транспортировку товарной продукции, а также работу вспомогательных объектов.</w:t>
      </w:r>
    </w:p>
    <w:p>
      <w:pPr>
        <w:spacing w:after="120" w:line="276" w:lineRule="auto"/>
        <w:ind w:firstLine="709"/>
      </w:pPr>
      <w:r>
        <w:t>В состав производственного комплекса входят эксплуатационный фонд скважин и групповые установки ГУ-1–ГУ-5, центральная установка подготовки нефти (ЦУПН), установка комплексной подготовки газа (УКПГ), установка подготовки пластовой воды (УППВ), блочно-кустовая насосная станция (БКНС), терминальная станция нефтепровода, дожимная насосная станция, нефтеналивная железнодорожная эстакада, газопоршневая электростанция, участок мойки НКТ, автозаправочная станция и вахтовый поселок.</w:t>
      </w:r>
    </w:p>
    <w:p>
      <w:pPr>
        <w:spacing w:after="120" w:line="276" w:lineRule="auto"/>
        <w:ind w:firstLine="709"/>
      </w:pPr>
      <w:r>
        <w:t>Большая часть попутного нефтяного газа используется на собственные нужды предприятия либо передается сторонним потребителям. Технологически неизбежный объем газа сжигается на факельных установках в установленном порядке.</w:t>
      </w:r>
    </w:p>
    <w:p>
      <w:pPr>
        <w:pStyle w:val="Heading1"/>
      </w:pPr>
      <w:r>
        <w:t>3. Воздействие на атмосферный воздух и нормативы допустимых выбросов</w:t>
      </w:r>
    </w:p>
    <w:p>
      <w:pPr>
        <w:spacing w:after="120" w:line="276" w:lineRule="auto"/>
        <w:ind w:firstLine="709"/>
      </w:pPr>
      <w:r>
        <w:t>Проект НДВ разработан для установления нормативов выбросов загрязняющих веществ при эксплуатации месторождения Каракудук в 2027 году.</w:t>
      </w:r>
    </w:p>
    <w:p>
      <w:pPr>
        <w:spacing w:after="120" w:line="276" w:lineRule="auto"/>
        <w:ind w:firstLine="709"/>
      </w:pPr>
      <w:r>
        <w:t>На 2027 год учтено 456 источников выбросов загрязняющих веществ. Суммарный объем выбросов, подлежащих нормированию, составляет 1527,92082975 т/год, в том числе твердых веществ — 7,628353327 т/год, газообразных и жидких веществ — 1520,29247642 т/год. В атмосферу поступают загрязняющие вещества 36 наименований 1–4 классов опасности; 9 веществ обладают эффектом суммации и объединены в 6 групп суммации.</w:t>
      </w:r>
    </w:p>
    <w:p>
      <w:pPr>
        <w:spacing w:after="120" w:line="276" w:lineRule="auto"/>
        <w:ind w:firstLine="709"/>
      </w:pPr>
      <w:r>
        <w:t>Расчеты рассеивания выполнены с учетом работы источников и условий размещения предприятия. По результатам расчетов превышение предельно допустимых концентраций на границе ближайшей жилой зоны и нормативной санитарно-защитной зоны не установлено. Наибольшие расчетные значения на границе СЗЗ составляют 0,97 ПДК для группы суммации диоксида азота и диоксида серы и 0,87 ПДК для диоксида азота.</w:t>
      </w:r>
    </w:p>
    <w:p>
      <w:pPr>
        <w:spacing w:after="120" w:line="276" w:lineRule="auto"/>
        <w:ind w:firstLine="709"/>
      </w:pPr>
      <w:r>
        <w:t>Размер санитарно-защитной зоны предприятия принят 1000 м. По результатам расчетов область воздействия находится в пределах санитарно-защитной зоны.</w:t>
      </w:r>
    </w:p>
    <w:p>
      <w:pPr>
        <w:spacing w:after="120" w:line="276" w:lineRule="auto"/>
        <w:ind w:firstLine="709"/>
      </w:pPr>
      <w:r>
        <w:t>Для ограничения воздействия на атмосферный воздух предусматриваются соблюдение технологических регламентов, герметизация оборудования, контроль состояния резервуаров и дренажных емкостей, предотвращение утечек, использование попутного газа на собственные нужды, контроль источников выбросов и мониторинг состояния атмосферного воздуха.</w:t>
      </w:r>
    </w:p>
    <w:p>
      <w:pPr>
        <w:pStyle w:val="Heading1"/>
      </w:pPr>
      <w:r>
        <w:t>4. Водопотребление, водоотведение и нормативы допустимых сбросов</w:t>
      </w:r>
    </w:p>
    <w:p>
      <w:pPr>
        <w:spacing w:after="120" w:line="276" w:lineRule="auto"/>
        <w:ind w:firstLine="709"/>
      </w:pPr>
      <w:r>
        <w:t>Проект НДС разработан на 2027 год для сточных вод, отводимых в пруд-накопитель и в подземные горизонты в системе поддержания пластового давления.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22"/>
        <w:gridCol w:w="2422"/>
        <w:gridCol w:w="2422"/>
        <w:gridCol w:w="2422"/>
      </w:tblGrid>
      <w:tr>
        <w:tc>
          <w:tcPr>
            <w:tcW w:type="dxa" w:w="2422"/>
          </w:tcPr>
          <w:p>
            <w:r>
              <w:t>Выпуск</w:t>
            </w:r>
          </w:p>
        </w:tc>
        <w:tc>
          <w:tcPr>
            <w:tcW w:type="dxa" w:w="2422"/>
          </w:tcPr>
          <w:p>
            <w:r>
              <w:t>Очистка</w:t>
            </w:r>
          </w:p>
        </w:tc>
        <w:tc>
          <w:tcPr>
            <w:tcW w:type="dxa" w:w="2422"/>
          </w:tcPr>
          <w:p>
            <w:r>
              <w:t>Объем, тыс. м³/год</w:t>
            </w:r>
          </w:p>
        </w:tc>
        <w:tc>
          <w:tcPr>
            <w:tcW w:type="dxa" w:w="2422"/>
          </w:tcPr>
          <w:p>
            <w:r>
              <w:t>ПДС, т/год</w:t>
            </w:r>
          </w:p>
        </w:tc>
      </w:tr>
      <w:tr>
        <w:tc>
          <w:tcPr>
            <w:tcW w:type="dxa" w:w="2422"/>
          </w:tcPr>
          <w:p>
            <w:r>
              <w:t>Пруд-накопитель</w:t>
            </w:r>
          </w:p>
        </w:tc>
        <w:tc>
          <w:tcPr>
            <w:tcW w:type="dxa" w:w="2422"/>
          </w:tcPr>
          <w:p>
            <w:r>
              <w:t>Механическая и биологическая</w:t>
            </w:r>
          </w:p>
        </w:tc>
        <w:tc>
          <w:tcPr>
            <w:tcW w:type="dxa" w:w="2422"/>
          </w:tcPr>
          <w:p>
            <w:r>
              <w:t>24,12714</w:t>
            </w:r>
          </w:p>
        </w:tc>
        <w:tc>
          <w:tcPr>
            <w:tcW w:type="dxa" w:w="2422"/>
          </w:tcPr>
          <w:p>
            <w:r>
              <w:t>11,12902</w:t>
            </w:r>
          </w:p>
        </w:tc>
      </w:tr>
      <w:tr>
        <w:tc>
          <w:tcPr>
            <w:tcW w:type="dxa" w:w="2422"/>
          </w:tcPr>
          <w:p>
            <w:r>
              <w:t>Система ППД, полигон закачки (подземные горизонты)</w:t>
            </w:r>
          </w:p>
        </w:tc>
        <w:tc>
          <w:tcPr>
            <w:tcW w:type="dxa" w:w="2422"/>
          </w:tcPr>
          <w:p>
            <w:r>
              <w:t>Механическая</w:t>
            </w:r>
          </w:p>
        </w:tc>
        <w:tc>
          <w:tcPr>
            <w:tcW w:type="dxa" w:w="2422"/>
          </w:tcPr>
          <w:p>
            <w:r>
              <w:t>18,45</w:t>
            </w:r>
          </w:p>
        </w:tc>
        <w:tc>
          <w:tcPr>
            <w:tcW w:type="dxa" w:w="2422"/>
          </w:tcPr>
          <w:p>
            <w:r>
              <w:t>5733,443</w:t>
            </w:r>
          </w:p>
        </w:tc>
      </w:tr>
      <w:tr>
        <w:tc>
          <w:tcPr>
            <w:tcW w:type="dxa" w:w="2422"/>
          </w:tcPr>
          <w:p>
            <w:r>
              <w:t>Всего</w:t>
            </w:r>
          </w:p>
        </w:tc>
        <w:tc>
          <w:tcPr>
            <w:tcW w:type="dxa" w:w="2422"/>
          </w:tcPr>
          <w:p>
            <w:r>
              <w:t>—</w:t>
            </w:r>
          </w:p>
        </w:tc>
        <w:tc>
          <w:tcPr>
            <w:tcW w:type="dxa" w:w="2422"/>
          </w:tcPr>
          <w:p>
            <w:r>
              <w:t>42,57714</w:t>
            </w:r>
          </w:p>
        </w:tc>
        <w:tc>
          <w:tcPr>
            <w:tcW w:type="dxa" w:w="2422"/>
          </w:tcPr>
          <w:p>
            <w:r>
              <w:t>5744,572</w:t>
            </w:r>
          </w:p>
        </w:tc>
      </w:tr>
    </w:tbl>
    <w:p>
      <w:pPr>
        <w:spacing w:after="120" w:line="276" w:lineRule="auto"/>
        <w:ind w:firstLine="709"/>
      </w:pPr>
      <w:r>
        <w:t>Хозяйственно-бытовые сточные воды перед поступлением в пруд-накопитель проходят механическую и биологическую очистку. Производственные сточные воды, направляемые в систему поддержания пластового давления, проходят механическую очистку. Проектом предусмотрены контроль качества сточных вод, контроль соблюдения нормативов сбросов, эксплуатационный контроль очистных сооружений и мониторинг подземных вод.</w:t>
      </w:r>
    </w:p>
    <w:p>
      <w:pPr>
        <w:spacing w:after="120" w:line="276" w:lineRule="auto"/>
        <w:ind w:firstLine="709"/>
      </w:pPr>
      <w:r>
        <w:t>В материалах рассмотрены возможные аварийные ситуации и предусмотрены меры по предотвращению загрязнения поверхностных и подземных вод, а также мероприятия по предупреждению аварийных сбросов.</w:t>
      </w:r>
    </w:p>
    <w:p>
      <w:pPr>
        <w:pStyle w:val="Heading1"/>
      </w:pPr>
      <w:r>
        <w:t>5. Управление отходами</w:t>
      </w:r>
    </w:p>
    <w:p>
      <w:pPr>
        <w:spacing w:after="120" w:line="276" w:lineRule="auto"/>
        <w:ind w:firstLine="709"/>
      </w:pPr>
      <w:r>
        <w:t>Программа управления отходами разработана на период с 1 января по 31 декабря 2027 года. Программой предусмотрено образование 16 видов отходов и функционирование 25 мест их накопления на территории месторождения.</w:t>
      </w:r>
    </w:p>
    <w:p>
      <w:pPr>
        <w:spacing w:after="120" w:line="276" w:lineRule="auto"/>
        <w:ind w:firstLine="709"/>
      </w:pPr>
      <w:r>
        <w:t>Планируемый общий объем образования отходов в 2027 году составляет 2575,508 т, в том числе опасных отходов — 2205,705 т и неопасных отходов — 369,503 т.</w:t>
      </w:r>
    </w:p>
    <w:p>
      <w:pPr>
        <w:spacing w:after="120" w:line="276" w:lineRule="auto"/>
        <w:ind w:firstLine="709"/>
      </w:pPr>
      <w:r>
        <w:t>Собственный полигон предприятия в настоящее время для размещения отходов не используется. Образующиеся отходы накапливаются на специально оборудованных площадках и передаются специализированным сторонним организациям в соответствии с договорами.</w:t>
      </w:r>
    </w:p>
    <w:p>
      <w:pPr>
        <w:spacing w:after="120" w:line="276" w:lineRule="auto"/>
        <w:ind w:firstLine="709"/>
      </w:pPr>
      <w:r>
        <w:t>Основные направления управления отходами включают раздельный сбор, учет образования и движения отходов, соблюдение условий временного накопления, своевременную передачу специализированным организациям, сокращение образования отходов и увеличение доли их восстановления, переработки и утилизации.</w:t>
      </w:r>
    </w:p>
    <w:p>
      <w:pPr>
        <w:pStyle w:val="Heading1"/>
      </w:pPr>
      <w:r>
        <w:t>6. Производственный экологический контроль</w:t>
      </w:r>
    </w:p>
    <w:p>
      <w:pPr>
        <w:spacing w:after="120" w:line="276" w:lineRule="auto"/>
        <w:ind w:firstLine="709"/>
      </w:pPr>
      <w:r>
        <w:t>Производственный экологический контроль предназначен для получения объективных данных о воздействии предприятия на окружающую среду и контроля соблюдения установленных экологических нормативов.</w:t>
      </w:r>
    </w:p>
    <w:p>
      <w:pPr>
        <w:spacing w:after="120" w:line="276" w:lineRule="auto"/>
        <w:ind w:firstLine="709"/>
      </w:pPr>
      <w:r>
        <w:t>Контроль включает операционный мониторинг технологических процессов, мониторинг эмиссий загрязняющих веществ в атмосферу, контроль сточных вод, наблюдения за состоянием компонентов окружающей среды и оценку соблюдения установленных нормативов. На источниках выбросов применяются инструментальные измерения и расчетные методы в соответствии с программой контроля.</w:t>
      </w:r>
    </w:p>
    <w:p>
      <w:pPr>
        <w:spacing w:after="120" w:line="276" w:lineRule="auto"/>
        <w:ind w:firstLine="709"/>
      </w:pPr>
      <w:r>
        <w:t>Результаты производственного экологического контроля используются для оценки фактического воздействия предприятия, своевременного выявления отклонений и принятия корректирующих мер.</w:t>
      </w:r>
    </w:p>
    <w:p>
      <w:pPr>
        <w:pStyle w:val="Heading1"/>
      </w:pPr>
      <w:r>
        <w:t>7. Природоохранные мероприятия</w:t>
      </w:r>
    </w:p>
    <w:p>
      <w:pPr>
        <w:spacing w:after="120" w:line="276" w:lineRule="auto"/>
        <w:ind w:firstLine="709"/>
      </w:pPr>
      <w:r>
        <w:t>Природоохранные мероприятия направлены на предупреждение и снижение воздействия производственной деятельности на атмосферный воздух, водные ресурсы, почвы и другие компоненты окружающей среды. К основным направлениям относятся поддержание технологического оборудования в исправном состоянии, предотвращение утечек нефти и газа, рациональное использование попутного газа, контроль очистных сооружений, мониторинг эмиссий и состояния окружающей среды, а также совершенствование системы обращения с отходами.</w:t>
      </w:r>
    </w:p>
    <w:p>
      <w:pPr>
        <w:spacing w:after="120" w:line="276" w:lineRule="auto"/>
        <w:ind w:firstLine="709"/>
      </w:pPr>
      <w:r>
        <w:t>В рамках ПУО предусмотрены организация учета отходов и ведение журнала учета, контроль образования, сбора, временного накопления и транспортировки отходов, а также реализация мероприятий по снижению их образования и повышению доли восстановления.</w:t>
      </w:r>
    </w:p>
    <w:p>
      <w:pPr>
        <w:pStyle w:val="Heading1"/>
      </w:pPr>
      <w:r>
        <w:t>8. Разделы «Охрана окружающей среды» к проектным работам</w:t>
      </w:r>
    </w:p>
    <w:p>
      <w:pPr>
        <w:pStyle w:val="Heading2"/>
      </w:pPr>
      <w:r>
        <w:t>8.1. Перевод нагнетательных линий скважин в добывающий фонд скважин по программе 2026 года</w:t>
      </w:r>
    </w:p>
    <w:p>
      <w:pPr>
        <w:spacing w:after="120" w:line="276" w:lineRule="auto"/>
        <w:ind w:firstLine="709"/>
      </w:pPr>
      <w:r>
        <w:t>Проектные работы выполняются на территории действующего месторождения Каракудук и связаны с переводом соответствующих скважин и их инфраструктуры для эксплуатации в добывающем фонде. Экологическая оценка таких работ должна учитывать временное воздействие строительных и монтажных операций, работу техники, образование отходов и возможные выбросы при выполнении работ, а после ввода — воздействие при эксплуатации.</w:t>
      </w:r>
    </w:p>
    <w:p>
      <w:pPr>
        <w:pStyle w:val="Heading2"/>
      </w:pPr>
      <w:r>
        <w:t>8.2. Обустройство устьев существующих добывающих скважин под станки-качалки по программе 2025–2026 гг.</w:t>
      </w:r>
    </w:p>
    <w:p>
      <w:pPr>
        <w:spacing w:after="120" w:line="276" w:lineRule="auto"/>
        <w:ind w:firstLine="709"/>
      </w:pPr>
      <w:r>
        <w:t>Проект предусматривает работы на существующих добывающих скважинах месторождения Каракудук, связанные с их обустройством под станки-качалки. Основное воздействие в период выполнения работ связано с использованием техники и оборудования, монтажными операциями, образованием отходов и локальным воздействием на производственные площадки.</w:t>
      </w:r>
    </w:p>
    <w:p>
      <w:pPr>
        <w:spacing w:after="120" w:line="276" w:lineRule="auto"/>
        <w:ind w:firstLine="709"/>
      </w:pPr>
      <w:r>
        <w:t>Примечание: количественные показатели по двум разделам ООС в настоящий документ не включены, поскольку сами разделы ООС не были представлены в комплекте исходных файлов при подготовке этой версии резюме. После предоставления разделов ООС соответствующие показатели выбросов, отходов, сроки и объемы работ следует перенести в резюме без изменения.</w:t>
      </w:r>
    </w:p>
    <w:p>
      <w:pPr>
        <w:pStyle w:val="Heading1"/>
      </w:pPr>
      <w:r>
        <w:t>9. Предупреждение аварийных ситуаций</w:t>
      </w:r>
    </w:p>
    <w:p>
      <w:pPr>
        <w:spacing w:after="120" w:line="276" w:lineRule="auto"/>
        <w:ind w:firstLine="709"/>
      </w:pPr>
      <w:r>
        <w:t>Для снижения риска аварий предусматриваются соблюдение технологических регламентов, контроль технического состояния оборудования и трубопроводов, своевременное техническое обслуживание и ремонт, оперативный контроль производственных процессов, готовность персонала к локализации и ликвидации возможных аварийных ситуаций.</w:t>
      </w:r>
    </w:p>
    <w:p>
      <w:pPr>
        <w:spacing w:after="120" w:line="276" w:lineRule="auto"/>
        <w:ind w:firstLine="709"/>
      </w:pPr>
      <w:r>
        <w:t>В части водоохранных мероприятий предусматривается контроль состояния очистных сооружений и приемников сточных вод, предотвращение несанкционированных сбросов и контроль состояния подземных вод.</w:t>
      </w:r>
    </w:p>
    <w:p>
      <w:pPr>
        <w:pStyle w:val="Heading1"/>
      </w:pPr>
      <w:r>
        <w:t>10. Общий вывод</w:t>
      </w:r>
    </w:p>
    <w:p>
      <w:pPr>
        <w:spacing w:after="120" w:line="276" w:lineRule="auto"/>
        <w:ind w:firstLine="709"/>
      </w:pPr>
      <w:r>
        <w:t>Материалы, выносимые на общественные слушания, направлены на нормирование и контроль воздействия действующего нефтедобывающего предприятия ТОО «Каракудукмунай» на окружающую среду в 2027 году, а также на экологическое сопровождение отдельных проектных работ на месторождении Каракудук.</w:t>
      </w:r>
    </w:p>
    <w:p>
      <w:pPr>
        <w:spacing w:after="120" w:line="276" w:lineRule="auto"/>
        <w:ind w:firstLine="709"/>
      </w:pPr>
      <w:r>
        <w:t>Для атмосферного воздуха проектом НДВ установлены расчетные объемы допустимых выбросов и подтверждено отсутствие превышений ПДК на границе ближайшей жилой зоны и нормативной СЗЗ. В части водоотведения определены нормативы сбросов в пруд-накопитель и подземные горизонты с предусмотренной очисткой и контролем. Программа управления отходами устанавливает объемы образования отходов и меры по их безопасному накоплению и передаче специализированным организациям. Производственный экологический контроль и природоохранные мероприятия обеспечивают систематическое наблюдение за воздействием предприятия и принятие мер по его предупреждению и снижению.</w:t>
      </w:r>
    </w:p>
    <w:p>
      <w:pPr>
        <w:spacing w:after="120" w:line="276" w:lineRule="auto"/>
        <w:ind w:firstLine="709"/>
      </w:pPr>
      <w:r>
        <w:t>При соблюдении предусмотренных проектными материалами технологических, природоохранных и контрольных мероприятий воздействие деятельности предприятия подлежит регулированию в пределах установленных экологических нормативов.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t>ТОО «Каракудукмунай» — нетехническое резюме, 2027 г.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