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i w:val="0"/>
          <w:sz w:val="30"/>
        </w:rPr>
        <w:t>НЕТЕХНИЧЕСКОЕ РЕЗЮМЕ</w:t>
      </w:r>
    </w:p>
    <w:p>
      <w:pPr>
        <w:ind w:firstLine="0"/>
        <w:jc w:val="center"/>
      </w:pPr>
      <w:r>
        <w:rPr>
          <w:rFonts w:ascii="Times New Roman" w:hAnsi="Times New Roman" w:eastAsia="Times New Roman"/>
          <w:b/>
          <w:i w:val="0"/>
          <w:sz w:val="23"/>
        </w:rPr>
        <w:t>к материалам на получение экологического разрешения на воздействие</w:t>
        <w:br/>
        <w:t>по проекту «Строительство и последующая эксплуатация шламоотстойника вместимостью 10 000 м³ и пруда-испарителя вместимостью 10 000 м³ на промплощадке «Южная» рудника «Южный Инкай», расположенного в Сузакском районе Туркестанской области»</w:t>
      </w:r>
    </w:p>
    <w:p>
      <w:pPr>
        <w:spacing w:line="252" w:lineRule="auto" w:after="60"/>
        <w:ind w:firstLine="567"/>
        <w:jc w:val="both"/>
      </w:pPr>
      <w:r>
        <w:rPr>
          <w:rFonts w:ascii="Times New Roman" w:hAnsi="Times New Roman" w:eastAsia="Times New Roman"/>
          <w:b w:val="0"/>
          <w:i w:val="0"/>
          <w:sz w:val="22"/>
        </w:rPr>
        <w:t>Настоящее нетехническое резюме подготовлено для ознакомления общественности с основными проектными решениями, предполагаемыми воздействиями на окружающую среду и предусмотренными природоохранными мероприятиями. Документ изложен в доступной форме и отражает сведения, содержащиеся в материалах экологической оценки и рабочем проекте.</w:t>
      </w:r>
    </w:p>
    <w:p>
      <w:pPr>
        <w:spacing w:line="252" w:lineRule="auto" w:after="60"/>
        <w:ind w:firstLine="567"/>
        <w:jc w:val="both"/>
      </w:pPr>
      <w:r>
        <w:rPr>
          <w:rFonts w:ascii="Times New Roman" w:hAnsi="Times New Roman" w:eastAsia="Times New Roman"/>
          <w:b w:val="0"/>
          <w:i w:val="0"/>
          <w:sz w:val="22"/>
        </w:rPr>
        <w:t>Заказчиком и оператором намечаемой деятельности является ТОО «СП «ЮГХК». Разработчиком рабочего проекта выступает ТОО «КАЗГОСПРОЕКТ». Материалы, представляемые для получения экологического разрешения на воздействие, включают раздел «Охрана окружающей среды», проект нормативов допустимых выбросов, Программу управления отходами, Программу производственного экологического контроля и План природоохранных мероприятий.</w:t>
      </w:r>
    </w:p>
    <w:tbl>
      <w:tblPr>
        <w:tblStyle w:val="TableGrid"/>
        <w:tblW w:type="auto" w:w="0"/>
        <w:jc w:val="center"/>
        <w:tblLook w:firstColumn="1" w:firstRow="1" w:lastColumn="0" w:lastRow="0" w:noHBand="0" w:noVBand="1" w:val="04A0"/>
      </w:tblPr>
      <w:tblGrid>
        <w:gridCol w:w="5128"/>
        <w:gridCol w:w="5128"/>
      </w:tblGrid>
      <w:tr>
        <w:trPr>
          <w:cantSplit/>
          <w:tblHeader w:val="true"/>
        </w:trPr>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9"/>
              </w:rPr>
              <w:t>Основной показатель</w:t>
            </w:r>
          </w:p>
        </w:tc>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9"/>
              </w:rPr>
              <w:t>Значение</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Местоположение</w:t>
            </w:r>
          </w:p>
        </w:tc>
        <w:tc>
          <w:tcPr>
            <w:tcW w:type="dxa" w:w="5128"/>
            <w:vAlign w:val="center"/>
          </w:tcPr>
          <w:p>
            <w:pPr>
              <w:spacing w:after="0" w:line="240" w:lineRule="auto"/>
              <w:ind w:firstLine="0"/>
              <w:jc w:val="left"/>
            </w:pPr>
            <w:r/>
            <w:r>
              <w:rPr>
                <w:rFonts w:ascii="Times New Roman" w:hAnsi="Times New Roman" w:eastAsia="Times New Roman"/>
                <w:b w:val="0"/>
                <w:i w:val="0"/>
                <w:sz w:val="18"/>
              </w:rPr>
              <w:t>промплощадка «Южная» рудника «Южный Инкай», Сузакский район, Туркестанская область</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Шламоотстойник</w:t>
            </w:r>
          </w:p>
        </w:tc>
        <w:tc>
          <w:tcPr>
            <w:tcW w:type="dxa" w:w="5128"/>
            <w:vAlign w:val="center"/>
          </w:tcPr>
          <w:p>
            <w:pPr>
              <w:spacing w:after="0" w:line="240" w:lineRule="auto"/>
              <w:ind w:firstLine="0"/>
              <w:jc w:val="left"/>
            </w:pPr>
            <w:r/>
            <w:r>
              <w:rPr>
                <w:rFonts w:ascii="Times New Roman" w:hAnsi="Times New Roman" w:eastAsia="Times New Roman"/>
                <w:b w:val="0"/>
                <w:i w:val="0"/>
                <w:sz w:val="18"/>
              </w:rPr>
              <w:t>10 000 м³, 2 секции по 5 000 м³</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Пруд-испаритель</w:t>
            </w:r>
          </w:p>
        </w:tc>
        <w:tc>
          <w:tcPr>
            <w:tcW w:type="dxa" w:w="5128"/>
            <w:vAlign w:val="center"/>
          </w:tcPr>
          <w:p>
            <w:pPr>
              <w:spacing w:after="0" w:line="240" w:lineRule="auto"/>
              <w:ind w:firstLine="0"/>
              <w:jc w:val="left"/>
            </w:pPr>
            <w:r/>
            <w:r>
              <w:rPr>
                <w:rFonts w:ascii="Times New Roman" w:hAnsi="Times New Roman" w:eastAsia="Times New Roman"/>
                <w:b w:val="0"/>
                <w:i w:val="0"/>
                <w:sz w:val="18"/>
              </w:rPr>
              <w:t>10 000 м³, 2 секции по 5 000 м³</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Площадь проектируемого участка</w:t>
            </w:r>
          </w:p>
        </w:tc>
        <w:tc>
          <w:tcPr>
            <w:tcW w:type="dxa" w:w="5128"/>
            <w:vAlign w:val="center"/>
          </w:tcPr>
          <w:p>
            <w:pPr>
              <w:spacing w:after="0" w:line="240" w:lineRule="auto"/>
              <w:ind w:firstLine="0"/>
              <w:jc w:val="left"/>
            </w:pPr>
            <w:r/>
            <w:r>
              <w:rPr>
                <w:rFonts w:ascii="Times New Roman" w:hAnsi="Times New Roman" w:eastAsia="Times New Roman"/>
                <w:b w:val="0"/>
                <w:i w:val="0"/>
                <w:sz w:val="18"/>
              </w:rPr>
              <w:t>2,6598 га</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Срок строительства</w:t>
            </w:r>
          </w:p>
        </w:tc>
        <w:tc>
          <w:tcPr>
            <w:tcW w:type="dxa" w:w="5128"/>
            <w:vAlign w:val="center"/>
          </w:tcPr>
          <w:p>
            <w:pPr>
              <w:spacing w:after="0" w:line="240" w:lineRule="auto"/>
              <w:ind w:firstLine="0"/>
              <w:jc w:val="left"/>
            </w:pPr>
            <w:r/>
            <w:r>
              <w:rPr>
                <w:rFonts w:ascii="Times New Roman" w:hAnsi="Times New Roman" w:eastAsia="Times New Roman"/>
                <w:b w:val="0"/>
                <w:i w:val="0"/>
                <w:sz w:val="18"/>
              </w:rPr>
              <w:t>01.01.2027–30.06.2027, 6 месяцев</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Период эксплуатации</w:t>
            </w:r>
          </w:p>
        </w:tc>
        <w:tc>
          <w:tcPr>
            <w:tcW w:type="dxa" w:w="5128"/>
            <w:vAlign w:val="center"/>
          </w:tcPr>
          <w:p>
            <w:pPr>
              <w:spacing w:after="0" w:line="240" w:lineRule="auto"/>
              <w:ind w:firstLine="0"/>
              <w:jc w:val="left"/>
            </w:pPr>
            <w:r/>
            <w:r>
              <w:rPr>
                <w:rFonts w:ascii="Times New Roman" w:hAnsi="Times New Roman" w:eastAsia="Times New Roman"/>
                <w:b w:val="0"/>
                <w:i w:val="0"/>
                <w:sz w:val="18"/>
              </w:rPr>
              <w:t>01.07.2027–31.12.2031</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Категория объекта</w:t>
            </w:r>
          </w:p>
        </w:tc>
        <w:tc>
          <w:tcPr>
            <w:tcW w:type="dxa" w:w="5128"/>
            <w:vAlign w:val="center"/>
          </w:tcPr>
          <w:p>
            <w:pPr>
              <w:spacing w:after="0" w:line="240" w:lineRule="auto"/>
              <w:ind w:firstLine="0"/>
              <w:jc w:val="left"/>
            </w:pPr>
            <w:r/>
            <w:r>
              <w:rPr>
                <w:rFonts w:ascii="Times New Roman" w:hAnsi="Times New Roman" w:eastAsia="Times New Roman"/>
                <w:b w:val="0"/>
                <w:i w:val="0"/>
                <w:sz w:val="18"/>
              </w:rPr>
              <w:t>I категория</w:t>
            </w:r>
          </w:p>
        </w:tc>
      </w:tr>
    </w:tbl>
    <w:p>
      <w:pPr>
        <w:spacing w:line="252" w:lineRule="auto" w:after="60"/>
        <w:ind w:firstLine="567"/>
        <w:jc w:val="both"/>
      </w:pPr>
      <w:r>
        <w:rPr>
          <w:rFonts w:ascii="Times New Roman" w:hAnsi="Times New Roman" w:eastAsia="Times New Roman"/>
          <w:b w:val="0"/>
          <w:i w:val="0"/>
          <w:sz w:val="22"/>
        </w:rPr>
        <w:t>По результатам скрининга воздействия намечаемой деятельности обязательная оценка воздействия на окружающую среду для данного проекта не требуется. Экологическая оценка проводится по упрощенному порядку. Проект относится к I категории объекта, оказывающего негативное воздействие на окружающую среду, что обуславливает необходимость разработки и соблюдения комплекса экологических требований, производственного контроля и мероприятий по обращению с отходами.</w:t>
      </w:r>
    </w:p>
    <w:p>
      <w:pPr>
        <w:spacing w:line="252" w:lineRule="auto" w:after="60"/>
        <w:ind w:firstLine="567"/>
        <w:jc w:val="both"/>
      </w:pPr>
      <w:r>
        <w:rPr>
          <w:rFonts w:ascii="Times New Roman" w:hAnsi="Times New Roman" w:eastAsia="Times New Roman"/>
          <w:b w:val="0"/>
          <w:i w:val="0"/>
          <w:sz w:val="22"/>
        </w:rPr>
        <w:t>Основная цель проекта — обеспечить организованный прием и временное накопление бурового шлама, его естественное обезвоживание с последующей передачей специализированной организации, а также прием пластовых вод, образующихся при освоении технологических скважин, с их последующим отстаиванием и естественным испарением. Захоронение бурового шлама на проектируемом объекте не предусматривается.</w:t>
      </w:r>
    </w:p>
    <w:p>
      <w:pPr>
        <w:spacing w:after="0" w:before="0"/>
      </w:pPr>
      <w:r>
        <w:br w:type="page"/>
      </w:r>
    </w:p>
    <w:p>
      <w:pPr>
        <w:pStyle w:val="Heading1"/>
      </w:pPr>
      <w:r>
        <w:t>1. МЕСТОПОЛОЖЕНИЕ И СОВРЕМЕННОЕ СОСТОЯНИЕ ТЕРРИТОРИИ</w:t>
      </w:r>
    </w:p>
    <w:p>
      <w:pPr>
        <w:spacing w:line="252" w:lineRule="auto" w:after="60"/>
        <w:ind w:firstLine="567"/>
        <w:jc w:val="both"/>
      </w:pPr>
      <w:r>
        <w:rPr>
          <w:rFonts w:ascii="Times New Roman" w:hAnsi="Times New Roman" w:eastAsia="Times New Roman"/>
          <w:b w:val="0"/>
          <w:i w:val="0"/>
          <w:sz w:val="22"/>
        </w:rPr>
        <w:t>Проектируемый объект размещается в пределах действующей производственной территории рудника «Южный Инкай» в Сузакском районе Туркестанской области. Размещение в пределах существующего рудника позволяет использовать имеющуюся инфраструктуру, не осваивать удаленные новые территории и не создавать протяженные новые транспортные коридоры.</w:t>
      </w:r>
    </w:p>
    <w:p>
      <w:pPr>
        <w:spacing w:line="252" w:lineRule="auto" w:after="60"/>
        <w:ind w:firstLine="567"/>
        <w:jc w:val="both"/>
      </w:pPr>
      <w:r>
        <w:rPr>
          <w:rFonts w:ascii="Times New Roman" w:hAnsi="Times New Roman" w:eastAsia="Times New Roman"/>
          <w:b w:val="0"/>
          <w:i w:val="0"/>
          <w:sz w:val="22"/>
        </w:rPr>
        <w:t>Ближайший населенный пункт — село Тайконыр, расположенное на расстоянии около 23,4 км от проектируемой площадки. Ближайший поверхностный водный объект — река Сарысу, расстояние до которой составляет около 23,8 км. В непосредственной близости от проектируемых сооружений открытые водные источники отсутствуют. Площадка расположена за пределами водоохранных зон и водоохранных полос.</w:t>
      </w:r>
    </w:p>
    <w:p>
      <w:pPr>
        <w:spacing w:line="252" w:lineRule="auto" w:after="60"/>
        <w:ind w:firstLine="567"/>
        <w:jc w:val="both"/>
      </w:pPr>
      <w:r>
        <w:rPr>
          <w:rFonts w:ascii="Times New Roman" w:hAnsi="Times New Roman" w:eastAsia="Times New Roman"/>
          <w:b w:val="0"/>
          <w:i w:val="0"/>
          <w:sz w:val="22"/>
        </w:rPr>
        <w:t>Рельеф территории преимущественно ровный, полого наклонный и слабоволнистый. Ландшафт имеет пустынный характер, встречаются небольшие понижения и плавные возвышенности. Территория уже используется в производственных целях, поэтому реализация проекта не связана с изъятием земель за пределами действующей контрактной территории.</w:t>
      </w:r>
    </w:p>
    <w:p>
      <w:pPr>
        <w:pStyle w:val="Heading2"/>
      </w:pPr>
      <w:r>
        <w:t>Климатические условия</w:t>
      </w:r>
    </w:p>
    <w:p>
      <w:pPr>
        <w:spacing w:line="252" w:lineRule="auto" w:after="60"/>
        <w:ind w:firstLine="567"/>
        <w:jc w:val="both"/>
      </w:pPr>
      <w:r>
        <w:rPr>
          <w:rFonts w:ascii="Times New Roman" w:hAnsi="Times New Roman" w:eastAsia="Times New Roman"/>
          <w:b w:val="0"/>
          <w:i w:val="0"/>
          <w:sz w:val="22"/>
        </w:rPr>
        <w:t>Климат района резко континентальный и сухой. Для него характерны значительные суточные и сезонные колебания температуры, жаркое лето и холодная зима. В июле–августе среднемесячная температура достигает +30…+32 °C, отдельные максимальные значения могут достигать +44 °C. Минимальная температура в зимний период составляет около −27,7 °C. Осадки распределены по сезонам неравномерно, большая их часть приходится на холодный период года.</w:t>
      </w:r>
    </w:p>
    <w:p>
      <w:pPr>
        <w:pStyle w:val="Heading2"/>
      </w:pPr>
      <w:r>
        <w:t>Растительный и животный мир</w:t>
      </w:r>
    </w:p>
    <w:p>
      <w:pPr>
        <w:spacing w:line="252" w:lineRule="auto" w:after="60"/>
        <w:ind w:firstLine="567"/>
        <w:jc w:val="both"/>
      </w:pPr>
      <w:r>
        <w:rPr>
          <w:rFonts w:ascii="Times New Roman" w:hAnsi="Times New Roman" w:eastAsia="Times New Roman"/>
          <w:b w:val="0"/>
          <w:i w:val="0"/>
          <w:sz w:val="22"/>
        </w:rPr>
        <w:t>Использование природных растительных ресурсов проектом не предусматривается. Вырубка или перенос зеленых насаждений не требуется. По материалам экологической оценки на территории проектируемого объекта редкие виды растений, занесенные в Красную книгу Республики Казахстан, не выявлены.</w:t>
      </w:r>
    </w:p>
    <w:p>
      <w:pPr>
        <w:spacing w:line="252" w:lineRule="auto" w:after="60"/>
        <w:ind w:firstLine="567"/>
        <w:jc w:val="both"/>
      </w:pPr>
      <w:r>
        <w:rPr>
          <w:rFonts w:ascii="Times New Roman" w:hAnsi="Times New Roman" w:eastAsia="Times New Roman"/>
          <w:b w:val="0"/>
          <w:i w:val="0"/>
          <w:sz w:val="22"/>
        </w:rPr>
        <w:t>Животный мир района представлен преимущественно мелкими грызунами, пресмыкающимися и птицами. Проектом не предусматривается использование объектов животного мира. Основное возможное влияние на животных связано с шумом и движением техники в период строительства. Это воздействие носит временный характер. Пути миграции и редкие виды животных, занесенные в Красную книгу Республики Казахстан, на проектируемой территории не отмечены.</w:t>
      </w:r>
    </w:p>
    <w:p>
      <w:pPr>
        <w:pStyle w:val="Heading2"/>
      </w:pPr>
      <w:r>
        <w:t>Площадь и планировка</w:t>
      </w:r>
    </w:p>
    <w:p>
      <w:pPr>
        <w:spacing w:line="252" w:lineRule="auto" w:after="60"/>
        <w:ind w:firstLine="567"/>
        <w:jc w:val="both"/>
      </w:pPr>
      <w:r>
        <w:rPr>
          <w:rFonts w:ascii="Times New Roman" w:hAnsi="Times New Roman" w:eastAsia="Times New Roman"/>
          <w:b w:val="0"/>
          <w:i w:val="0"/>
          <w:sz w:val="22"/>
        </w:rPr>
        <w:t>Площадь участка составляет 2,6598 га. Площадь застройки — 18 050 м², площадь покрытий — 1 821 м², прочие участки — 6 727 м². Территория будет ограждена металлическим сетчатым ограждением высотой 2 м с воротами и калитками. Планировочные решения обеспечивают проезд специализированного автотранспорта и безопасный доступ обслуживающего персонала.</w:t>
      </w:r>
    </w:p>
    <w:p>
      <w:pPr>
        <w:spacing w:line="252" w:lineRule="auto" w:after="60"/>
        <w:ind w:firstLine="567"/>
        <w:jc w:val="both"/>
      </w:pPr>
      <w:r>
        <w:rPr>
          <w:rFonts w:ascii="Times New Roman" w:hAnsi="Times New Roman" w:eastAsia="Times New Roman"/>
          <w:b w:val="0"/>
          <w:i w:val="0"/>
          <w:sz w:val="22"/>
        </w:rPr>
        <w:t>Таким образом, объект размещается на промышленно освоенной территории, удаленной от населенных пунктов и открытых водных объектов. Это существенно ограничивает территориальный масштаб возможного воздействия и позволяет организовать производственный и экологический контроль в границах существующей инфраструктуры рудника.</w:t>
      </w:r>
    </w:p>
    <w:p>
      <w:pPr>
        <w:spacing w:after="0" w:before="0"/>
      </w:pPr>
      <w:r>
        <w:br w:type="page"/>
      </w:r>
    </w:p>
    <w:p>
      <w:pPr>
        <w:pStyle w:val="Heading1"/>
      </w:pPr>
      <w:r>
        <w:t>2. ОСНОВНЫЕ ПРОЕКТНЫЕ РЕШЕНИЯ</w:t>
      </w:r>
    </w:p>
    <w:p>
      <w:pPr>
        <w:pStyle w:val="Heading2"/>
      </w:pPr>
      <w:r>
        <w:t>Шламоотстойник</w:t>
      </w:r>
    </w:p>
    <w:p>
      <w:pPr>
        <w:spacing w:line="252" w:lineRule="auto" w:after="60"/>
        <w:ind w:firstLine="567"/>
        <w:jc w:val="both"/>
      </w:pPr>
      <w:r>
        <w:rPr>
          <w:rFonts w:ascii="Times New Roman" w:hAnsi="Times New Roman" w:eastAsia="Times New Roman"/>
          <w:b w:val="0"/>
          <w:i w:val="0"/>
          <w:sz w:val="22"/>
        </w:rPr>
        <w:t>Шламоотстойник проектируется в виде прямоугольного земляного бассейна общей вместимостью 10 000 м³. Габаритные размеры по наружному контуру бермы составляют ориентировочно 100×66 м, глубина — около 2 м. Сооружение разделено на две секции по 5 000 м³, что позволяет поочередно принимать буровой шлам, обеспечивать его естественное обезвоживание и выполнять изъятие накопленного материала.</w:t>
      </w:r>
    </w:p>
    <w:p>
      <w:pPr>
        <w:spacing w:line="252" w:lineRule="auto" w:after="60"/>
        <w:ind w:firstLine="567"/>
        <w:jc w:val="both"/>
      </w:pPr>
      <w:r>
        <w:rPr>
          <w:rFonts w:ascii="Times New Roman" w:hAnsi="Times New Roman" w:eastAsia="Times New Roman"/>
          <w:b w:val="0"/>
          <w:i w:val="0"/>
          <w:sz w:val="22"/>
        </w:rPr>
        <w:t>Буровой шлам образуется при сооружении технологических скважин геотехнологического полигона. Сначала он собирается в зумпфах непосредственно на буровой площадке, затем откачивается специализированным автотранспортом и доставляется к шламоотстойнику. Прием осуществляется через трубопровод из полиэтилена ПЭ100 диаметром 400 мм. Дно и откосы шламоотстойника формируются из подготовленного и уплотненного грунта.</w:t>
      </w:r>
    </w:p>
    <w:p>
      <w:pPr>
        <w:spacing w:line="252" w:lineRule="auto" w:after="60"/>
        <w:ind w:firstLine="567"/>
        <w:jc w:val="both"/>
      </w:pPr>
      <w:r>
        <w:rPr>
          <w:rFonts w:ascii="Times New Roman" w:hAnsi="Times New Roman" w:eastAsia="Times New Roman"/>
          <w:b w:val="0"/>
          <w:i w:val="0"/>
          <w:sz w:val="22"/>
        </w:rPr>
        <w:t>В шламоотстойнике происходит естественное обезвоживание бурового шлама. После достижения состояния, позволяющего погрузку и транспортирование, шлам изымается и передается специализированной организации. Срок временного накопления не должен превышать 12 месяцев. Проектом не предусматривается постоянное размещение или захоронение бурового шлама в данном сооружении.</w:t>
      </w:r>
    </w:p>
    <w:p>
      <w:pPr>
        <w:pStyle w:val="Heading2"/>
      </w:pPr>
      <w:r>
        <w:t>Пруд-испаритель</w:t>
      </w:r>
    </w:p>
    <w:p>
      <w:pPr>
        <w:spacing w:line="252" w:lineRule="auto" w:after="60"/>
        <w:ind w:firstLine="567"/>
        <w:jc w:val="both"/>
      </w:pPr>
      <w:r>
        <w:rPr>
          <w:rFonts w:ascii="Times New Roman" w:hAnsi="Times New Roman" w:eastAsia="Times New Roman"/>
          <w:b w:val="0"/>
          <w:i w:val="0"/>
          <w:sz w:val="22"/>
        </w:rPr>
        <w:t>Пруд-испаритель также представляет собой прямоугольное земляное сооружение вместимостью 10 000 м³ с двумя секциями по 5 000 м³. Его назначение — прием пластовых вод, образующихся при освоении технологических скважин, их отстаивание и последующее естественное испарение осветленной водной части.</w:t>
      </w:r>
    </w:p>
    <w:p>
      <w:pPr>
        <w:spacing w:line="252" w:lineRule="auto" w:after="60"/>
        <w:ind w:firstLine="567"/>
        <w:jc w:val="both"/>
      </w:pPr>
      <w:r>
        <w:rPr>
          <w:rFonts w:ascii="Times New Roman" w:hAnsi="Times New Roman" w:eastAsia="Times New Roman"/>
          <w:b w:val="0"/>
          <w:i w:val="0"/>
          <w:sz w:val="22"/>
        </w:rPr>
        <w:t>Для предотвращения фильтрации основание и откосы пруда-испарителя оборудуются однослойным противофильтрационным экраном из геомембраны толщиной 1,5 мм. Полотнища геомембраны соединяются контактной или экструзионной сваркой с обеспечением герметичности швов. До укладки мембраны поверхность основания выравнивается, уплотняется и очищается от камней, корневищ и иных включений, способных повредить экран.</w:t>
      </w:r>
    </w:p>
    <w:p>
      <w:pPr>
        <w:spacing w:line="252" w:lineRule="auto" w:after="60"/>
        <w:ind w:firstLine="567"/>
        <w:jc w:val="both"/>
      </w:pPr>
      <w:r>
        <w:rPr>
          <w:rFonts w:ascii="Times New Roman" w:hAnsi="Times New Roman" w:eastAsia="Times New Roman"/>
          <w:b w:val="0"/>
          <w:i w:val="0"/>
          <w:sz w:val="22"/>
        </w:rPr>
        <w:t>Пластовые воды доставляются специализированным транспортом и поступают через приемный трубопровод ПЭ100 диаметром 400 мм. Твердые частицы оседают на дно, а осветленная вода испаряется естественным путем. Сброс воды в поверхностные водные объекты, на рельеф местности или в недра не предусматривается.</w:t>
      </w:r>
    </w:p>
    <w:p>
      <w:pPr>
        <w:pStyle w:val="Heading2"/>
      </w:pPr>
      <w:r>
        <w:t>Вспомогательная инфраструктура</w:t>
      </w:r>
    </w:p>
    <w:p>
      <w:pPr>
        <w:spacing w:line="252" w:lineRule="auto" w:after="60"/>
        <w:ind w:firstLine="567"/>
        <w:jc w:val="both"/>
      </w:pPr>
      <w:r>
        <w:rPr>
          <w:rFonts w:ascii="Times New Roman" w:hAnsi="Times New Roman" w:eastAsia="Times New Roman"/>
          <w:b w:val="0"/>
          <w:i w:val="0"/>
          <w:sz w:val="22"/>
        </w:rPr>
        <w:t>Для подъезда к проектируемым сооружениям предусмотрена автомобильная дорога V категории протяженностью 0,063 км. Она используется специализированным транспортом, доставляющим буровой шлам и пластовые воды, а также обслуживающей техникой. На подготовительном этапе выполняются геодезическая разбивка, расчистка площадки, устройство временного отвода поверхностных вод и организация строительной зоны. Основные работы включают разработку грунта, формирование дна, откосов и берм, послойное уплотнение, устройство дорог, трубопроводов и ограждения.</w:t>
      </w:r>
    </w:p>
    <w:p>
      <w:pPr>
        <w:spacing w:after="0" w:before="0"/>
      </w:pPr>
      <w:r>
        <w:br w:type="page"/>
      </w:r>
    </w:p>
    <w:p>
      <w:pPr>
        <w:pStyle w:val="Heading1"/>
      </w:pPr>
      <w:r>
        <w:t>3. ВОЗДЕЙСТВИЕ НА АТМОСФЕРНЫЙ ВОЗДУХ И ФИЗИЧЕСКИЕ ФАКТОРЫ</w:t>
      </w:r>
    </w:p>
    <w:p>
      <w:pPr>
        <w:spacing w:line="252" w:lineRule="auto" w:after="60"/>
        <w:ind w:firstLine="567"/>
        <w:jc w:val="both"/>
      </w:pPr>
      <w:r>
        <w:rPr>
          <w:rFonts w:ascii="Times New Roman" w:hAnsi="Times New Roman" w:eastAsia="Times New Roman"/>
          <w:b w:val="0"/>
          <w:i w:val="0"/>
          <w:sz w:val="22"/>
        </w:rPr>
        <w:t>Основное воздействие на атмосферный воздух ожидается только в период строительно-монтажных работ с 1 января по 30 июня 2027 года. Источники выбросов имеют временный характер и прекращают действие после завершения строительства. На стадии эксплуатации стационарные источники выбросов от проектируемых шламоотстойника и пруда-испарителя отсутствуют.</w:t>
      </w:r>
    </w:p>
    <w:p>
      <w:pPr>
        <w:spacing w:line="252" w:lineRule="auto" w:after="60"/>
        <w:ind w:firstLine="567"/>
        <w:jc w:val="both"/>
      </w:pPr>
      <w:r>
        <w:rPr>
          <w:rFonts w:ascii="Times New Roman" w:hAnsi="Times New Roman" w:eastAsia="Times New Roman"/>
          <w:b w:val="0"/>
          <w:i w:val="0"/>
          <w:sz w:val="22"/>
        </w:rPr>
        <w:t>В период строительства выбросы формируются при сварочных и окрасочных работах, разгрузке и временном хранении песка, щебня и других инертных материалов, работе бурильного оборудования, земляных работах, а также при движении строительной техники. Основными загрязняющими веществами являются оксиды железа, соединения марганца, диметилбензол, метилбензол, бутилацетат, пропан-2-он, уайт-спирит и неорганическая пыль, содержащая диоксид кремния 70–20 %.</w:t>
      </w:r>
    </w:p>
    <w:tbl>
      <w:tblPr>
        <w:tblStyle w:val="TableGrid"/>
        <w:tblW w:type="auto" w:w="0"/>
        <w:jc w:val="center"/>
        <w:tblLook w:firstColumn="1" w:firstRow="1" w:lastColumn="0" w:lastRow="0" w:noHBand="0" w:noVBand="1" w:val="04A0"/>
      </w:tblPr>
      <w:tblGrid>
        <w:gridCol w:w="5128"/>
        <w:gridCol w:w="5128"/>
      </w:tblGrid>
      <w:tr>
        <w:trPr>
          <w:cantSplit/>
          <w:tblHeader w:val="true"/>
        </w:trPr>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8"/>
              </w:rPr>
              <w:t>Показатель</w:t>
            </w:r>
          </w:p>
        </w:tc>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8"/>
              </w:rPr>
              <w:t>Расчетное значение</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Суммарный максимальный разовый выброс</w:t>
            </w:r>
          </w:p>
        </w:tc>
        <w:tc>
          <w:tcPr>
            <w:tcW w:type="dxa" w:w="5128"/>
            <w:vAlign w:val="center"/>
          </w:tcPr>
          <w:p>
            <w:pPr>
              <w:spacing w:after="0" w:line="240" w:lineRule="auto"/>
              <w:ind w:firstLine="0"/>
              <w:jc w:val="left"/>
            </w:pPr>
            <w:r/>
            <w:r>
              <w:rPr>
                <w:rFonts w:ascii="Times New Roman" w:hAnsi="Times New Roman" w:eastAsia="Times New Roman"/>
                <w:b w:val="0"/>
                <w:i w:val="0"/>
                <w:sz w:val="18"/>
              </w:rPr>
              <w:t>0,80082705555 г/с</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Суммарный валовый выброс нормируемых источников</w:t>
            </w:r>
          </w:p>
        </w:tc>
        <w:tc>
          <w:tcPr>
            <w:tcW w:type="dxa" w:w="5128"/>
            <w:vAlign w:val="center"/>
          </w:tcPr>
          <w:p>
            <w:pPr>
              <w:spacing w:after="0" w:line="240" w:lineRule="auto"/>
              <w:ind w:firstLine="0"/>
              <w:jc w:val="left"/>
            </w:pPr>
            <w:r/>
            <w:r>
              <w:rPr>
                <w:rFonts w:ascii="Times New Roman" w:hAnsi="Times New Roman" w:eastAsia="Times New Roman"/>
                <w:b w:val="0"/>
                <w:i w:val="0"/>
                <w:sz w:val="18"/>
              </w:rPr>
              <w:t>0,0947242601 т/год</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Выбросы передвижного автотранспорта</w:t>
            </w:r>
          </w:p>
        </w:tc>
        <w:tc>
          <w:tcPr>
            <w:tcW w:type="dxa" w:w="5128"/>
            <w:vAlign w:val="center"/>
          </w:tcPr>
          <w:p>
            <w:pPr>
              <w:spacing w:after="0" w:line="240" w:lineRule="auto"/>
              <w:ind w:firstLine="0"/>
              <w:jc w:val="left"/>
            </w:pPr>
            <w:r/>
            <w:r>
              <w:rPr>
                <w:rFonts w:ascii="Times New Roman" w:hAnsi="Times New Roman" w:eastAsia="Times New Roman"/>
                <w:b w:val="0"/>
                <w:i w:val="0"/>
                <w:sz w:val="18"/>
              </w:rPr>
              <w:t>0,00151147 т/год</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Период действия источников</w:t>
            </w:r>
          </w:p>
        </w:tc>
        <w:tc>
          <w:tcPr>
            <w:tcW w:type="dxa" w:w="5128"/>
            <w:vAlign w:val="center"/>
          </w:tcPr>
          <w:p>
            <w:pPr>
              <w:spacing w:after="0" w:line="240" w:lineRule="auto"/>
              <w:ind w:firstLine="0"/>
              <w:jc w:val="left"/>
            </w:pPr>
            <w:r/>
            <w:r>
              <w:rPr>
                <w:rFonts w:ascii="Times New Roman" w:hAnsi="Times New Roman" w:eastAsia="Times New Roman"/>
                <w:b w:val="0"/>
                <w:i w:val="0"/>
                <w:sz w:val="18"/>
              </w:rPr>
              <w:t>период строительства 2027 года</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Эксплуатация</w:t>
            </w:r>
          </w:p>
        </w:tc>
        <w:tc>
          <w:tcPr>
            <w:tcW w:type="dxa" w:w="5128"/>
            <w:vAlign w:val="center"/>
          </w:tcPr>
          <w:p>
            <w:pPr>
              <w:spacing w:after="0" w:line="240" w:lineRule="auto"/>
              <w:ind w:firstLine="0"/>
              <w:jc w:val="left"/>
            </w:pPr>
            <w:r/>
            <w:r>
              <w:rPr>
                <w:rFonts w:ascii="Times New Roman" w:hAnsi="Times New Roman" w:eastAsia="Times New Roman"/>
                <w:b w:val="0"/>
                <w:i w:val="0"/>
                <w:sz w:val="18"/>
              </w:rPr>
              <w:t>стационарные источники выбросов отсутствуют</w:t>
            </w:r>
          </w:p>
        </w:tc>
      </w:tr>
    </w:tbl>
    <w:p>
      <w:pPr>
        <w:spacing w:line="252" w:lineRule="auto" w:after="60"/>
        <w:ind w:firstLine="567"/>
        <w:jc w:val="both"/>
      </w:pPr>
      <w:r>
        <w:rPr>
          <w:rFonts w:ascii="Times New Roman" w:hAnsi="Times New Roman" w:eastAsia="Times New Roman"/>
          <w:b w:val="0"/>
          <w:i w:val="0"/>
          <w:sz w:val="22"/>
        </w:rPr>
        <w:t>Расчеты рассеивания показывают, что максимальные приземные концентрации загрязняющих веществ не превышают установленные нормативы качества атмосферного воздуха. Воздействие носит локальный и кратковременный характер и связано главным образом с территорией выполнения строительных работ.</w:t>
      </w:r>
    </w:p>
    <w:p>
      <w:pPr>
        <w:pStyle w:val="Heading2"/>
      </w:pPr>
      <w:r>
        <w:t>Меры по снижению выбросов</w:t>
      </w:r>
    </w:p>
    <w:p>
      <w:pPr>
        <w:spacing w:after="30" w:line="240" w:lineRule="auto"/>
        <w:ind w:left="397" w:hanging="227"/>
        <w:jc w:val="both"/>
      </w:pPr>
      <w:r>
        <w:rPr>
          <w:rFonts w:ascii="Times New Roman" w:hAnsi="Times New Roman" w:eastAsia="Times New Roman"/>
          <w:b w:val="0"/>
          <w:i w:val="0"/>
          <w:sz w:val="21"/>
        </w:rPr>
        <w:t>– использование технически исправной строительной техники и своевременное техническое обслуживание двигателей;</w:t>
      </w:r>
    </w:p>
    <w:p>
      <w:pPr>
        <w:spacing w:after="30" w:line="240" w:lineRule="auto"/>
        <w:ind w:left="397" w:hanging="227"/>
        <w:jc w:val="both"/>
      </w:pPr>
      <w:r>
        <w:rPr>
          <w:rFonts w:ascii="Times New Roman" w:hAnsi="Times New Roman" w:eastAsia="Times New Roman"/>
          <w:b w:val="0"/>
          <w:i w:val="0"/>
          <w:sz w:val="21"/>
        </w:rPr>
        <w:t>– ограничение холостой работы автотранспорта и специальной техники;</w:t>
      </w:r>
    </w:p>
    <w:p>
      <w:pPr>
        <w:spacing w:after="30" w:line="240" w:lineRule="auto"/>
        <w:ind w:left="397" w:hanging="227"/>
        <w:jc w:val="both"/>
      </w:pPr>
      <w:r>
        <w:rPr>
          <w:rFonts w:ascii="Times New Roman" w:hAnsi="Times New Roman" w:eastAsia="Times New Roman"/>
          <w:b w:val="0"/>
          <w:i w:val="0"/>
          <w:sz w:val="21"/>
        </w:rPr>
        <w:t>– увлажнение пылящих поверхностей и проездов в сухую и ветреную погоду при необходимости;</w:t>
      </w:r>
    </w:p>
    <w:p>
      <w:pPr>
        <w:spacing w:after="30" w:line="240" w:lineRule="auto"/>
        <w:ind w:left="397" w:hanging="227"/>
        <w:jc w:val="both"/>
      </w:pPr>
      <w:r>
        <w:rPr>
          <w:rFonts w:ascii="Times New Roman" w:hAnsi="Times New Roman" w:eastAsia="Times New Roman"/>
          <w:b w:val="0"/>
          <w:i w:val="0"/>
          <w:sz w:val="21"/>
        </w:rPr>
        <w:t>– сокращение высоты свободного падения сыпучих материалов при разгрузке и пересыпке;</w:t>
      </w:r>
    </w:p>
    <w:p>
      <w:pPr>
        <w:spacing w:after="30" w:line="240" w:lineRule="auto"/>
        <w:ind w:left="397" w:hanging="227"/>
        <w:jc w:val="both"/>
      </w:pPr>
      <w:r>
        <w:rPr>
          <w:rFonts w:ascii="Times New Roman" w:hAnsi="Times New Roman" w:eastAsia="Times New Roman"/>
          <w:b w:val="0"/>
          <w:i w:val="0"/>
          <w:sz w:val="21"/>
        </w:rPr>
        <w:t>– укрытие пылящих материалов при транспортировке и недопущение перегрузки кузовов;</w:t>
      </w:r>
    </w:p>
    <w:p>
      <w:pPr>
        <w:spacing w:after="30" w:line="240" w:lineRule="auto"/>
        <w:ind w:left="397" w:hanging="227"/>
        <w:jc w:val="both"/>
      </w:pPr>
      <w:r>
        <w:rPr>
          <w:rFonts w:ascii="Times New Roman" w:hAnsi="Times New Roman" w:eastAsia="Times New Roman"/>
          <w:b w:val="0"/>
          <w:i w:val="0"/>
          <w:sz w:val="21"/>
        </w:rPr>
        <w:t>– хранение лакокрасочных материалов в герметичной таре и выполнение окрасочных работ только в проектных объемах;</w:t>
      </w:r>
    </w:p>
    <w:p>
      <w:pPr>
        <w:spacing w:after="30" w:line="240" w:lineRule="auto"/>
        <w:ind w:left="397" w:hanging="227"/>
        <w:jc w:val="both"/>
      </w:pPr>
      <w:r>
        <w:rPr>
          <w:rFonts w:ascii="Times New Roman" w:hAnsi="Times New Roman" w:eastAsia="Times New Roman"/>
          <w:b w:val="0"/>
          <w:i w:val="0"/>
          <w:sz w:val="21"/>
        </w:rPr>
        <w:t>– ограничение наиболее пылящих операций при неблагоприятных метеорологических условиях.</w:t>
      </w:r>
    </w:p>
    <w:p>
      <w:pPr>
        <w:spacing w:line="252" w:lineRule="auto" w:after="60"/>
        <w:ind w:firstLine="567"/>
        <w:jc w:val="both"/>
      </w:pPr>
      <w:r>
        <w:rPr>
          <w:rFonts w:ascii="Times New Roman" w:hAnsi="Times New Roman" w:eastAsia="Times New Roman"/>
          <w:b w:val="0"/>
          <w:i w:val="0"/>
          <w:sz w:val="22"/>
        </w:rPr>
        <w:t>Шум и вибрация связаны с временной работой строительной техники и механизмов. После завершения строительства интенсивные источники шума прекращают работу. Дополнительного постоянного акустического воздействия при эксплуатации проектируемых сооружений не ожидается.</w:t>
      </w:r>
    </w:p>
    <w:p>
      <w:pPr>
        <w:spacing w:line="252" w:lineRule="auto" w:after="60"/>
        <w:ind w:firstLine="567"/>
        <w:jc w:val="both"/>
      </w:pPr>
      <w:r>
        <w:rPr>
          <w:rFonts w:ascii="Times New Roman" w:hAnsi="Times New Roman" w:eastAsia="Times New Roman"/>
          <w:b w:val="0"/>
          <w:i w:val="0"/>
          <w:sz w:val="22"/>
        </w:rPr>
        <w:t>В рамках производственного экологического контроля предусматривается наблюдение за соблюдением технологических режимов, объемами применяемых материалов, состоянием строительной техники и выполнением мероприятий по пылеподавлению. При необходимости контроль атмосферного воздуха может выполняться аккредитованной лабораторией в установленных контрольных точках.</w:t>
      </w:r>
    </w:p>
    <w:p>
      <w:pPr>
        <w:spacing w:after="0" w:before="0"/>
      </w:pPr>
      <w:r>
        <w:br w:type="page"/>
      </w:r>
    </w:p>
    <w:p>
      <w:pPr>
        <w:pStyle w:val="Heading1"/>
      </w:pPr>
      <w:r>
        <w:t>4. ВОЗДЕЙСТВИЕ НА ВОДЫ, ПОЧВЫ И ЗЕМЕЛЬНЫЕ РЕСУРСЫ</w:t>
      </w:r>
    </w:p>
    <w:p>
      <w:pPr>
        <w:pStyle w:val="Heading2"/>
      </w:pPr>
      <w:r>
        <w:t>Водопотребление и водоотведение</w:t>
      </w:r>
    </w:p>
    <w:p>
      <w:pPr>
        <w:spacing w:line="252" w:lineRule="auto" w:after="60"/>
        <w:ind w:firstLine="567"/>
        <w:jc w:val="both"/>
      </w:pPr>
      <w:r>
        <w:rPr>
          <w:rFonts w:ascii="Times New Roman" w:hAnsi="Times New Roman" w:eastAsia="Times New Roman"/>
          <w:b w:val="0"/>
          <w:i w:val="0"/>
          <w:sz w:val="22"/>
        </w:rPr>
        <w:t>В период строительства вода требуется для хозяйственно-питьевых и технических нужд. Питьевая и техническая вода предусматривается привозной либо подается от существующих систем рудника. Дополнительный самостоятельный водозабор из поверхностных или подземных источников для проектируемого объекта не предусматривается.</w:t>
      </w:r>
    </w:p>
    <w:tbl>
      <w:tblPr>
        <w:tblStyle w:val="TableGrid"/>
        <w:tblW w:type="auto" w:w="0"/>
        <w:jc w:val="center"/>
        <w:tblLook w:firstColumn="1" w:firstRow="1" w:lastColumn="0" w:lastRow="0" w:noHBand="0" w:noVBand="1" w:val="04A0"/>
      </w:tblPr>
      <w:tblGrid>
        <w:gridCol w:w="5128"/>
        <w:gridCol w:w="5128"/>
      </w:tblGrid>
      <w:tr>
        <w:trPr>
          <w:cantSplit/>
          <w:tblHeader w:val="true"/>
        </w:trPr>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9"/>
              </w:rPr>
              <w:t>Вид водопотребления</w:t>
            </w:r>
          </w:p>
        </w:tc>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9"/>
              </w:rPr>
              <w:t>Объем на период строительства</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Хозяйственно-питьевые нужды</w:t>
            </w:r>
          </w:p>
        </w:tc>
        <w:tc>
          <w:tcPr>
            <w:tcW w:type="dxa" w:w="5128"/>
            <w:vAlign w:val="center"/>
          </w:tcPr>
          <w:p>
            <w:pPr>
              <w:spacing w:after="0" w:line="240" w:lineRule="auto"/>
              <w:ind w:firstLine="0"/>
              <w:jc w:val="left"/>
            </w:pPr>
            <w:r/>
            <w:r>
              <w:rPr>
                <w:rFonts w:ascii="Times New Roman" w:hAnsi="Times New Roman" w:eastAsia="Times New Roman"/>
                <w:b w:val="0"/>
                <w:i w:val="0"/>
                <w:sz w:val="18"/>
              </w:rPr>
              <w:t>855,36 м³</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Технические нужды</w:t>
            </w:r>
          </w:p>
        </w:tc>
        <w:tc>
          <w:tcPr>
            <w:tcW w:type="dxa" w:w="5128"/>
            <w:vAlign w:val="center"/>
          </w:tcPr>
          <w:p>
            <w:pPr>
              <w:spacing w:after="0" w:line="240" w:lineRule="auto"/>
              <w:ind w:firstLine="0"/>
              <w:jc w:val="left"/>
            </w:pPr>
            <w:r/>
            <w:r>
              <w:rPr>
                <w:rFonts w:ascii="Times New Roman" w:hAnsi="Times New Roman" w:eastAsia="Times New Roman"/>
                <w:b w:val="0"/>
                <w:i w:val="0"/>
                <w:sz w:val="18"/>
              </w:rPr>
              <w:t>13,37 м³</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Всего</w:t>
            </w:r>
          </w:p>
        </w:tc>
        <w:tc>
          <w:tcPr>
            <w:tcW w:type="dxa" w:w="5128"/>
            <w:vAlign w:val="center"/>
          </w:tcPr>
          <w:p>
            <w:pPr>
              <w:spacing w:after="0" w:line="240" w:lineRule="auto"/>
              <w:ind w:firstLine="0"/>
              <w:jc w:val="left"/>
            </w:pPr>
            <w:r/>
            <w:r>
              <w:rPr>
                <w:rFonts w:ascii="Times New Roman" w:hAnsi="Times New Roman" w:eastAsia="Times New Roman"/>
                <w:b w:val="0"/>
                <w:i w:val="0"/>
                <w:sz w:val="18"/>
              </w:rPr>
              <w:t>868,73 м³</w:t>
            </w:r>
          </w:p>
        </w:tc>
      </w:tr>
    </w:tbl>
    <w:p>
      <w:pPr>
        <w:spacing w:line="252" w:lineRule="auto" w:after="60"/>
        <w:ind w:firstLine="567"/>
        <w:jc w:val="both"/>
      </w:pPr>
      <w:r>
        <w:rPr>
          <w:rFonts w:ascii="Times New Roman" w:hAnsi="Times New Roman" w:eastAsia="Times New Roman"/>
          <w:b w:val="0"/>
          <w:i w:val="0"/>
          <w:sz w:val="22"/>
        </w:rPr>
        <w:t>Хозяйственно-бытовые сточные воды в период строительства собираются в герметичную бетонированную емкость объемом 10 м³ и по мере заполнения вывозятся ассенизаторской машиной по договору. Сброс сточных вод в поверхностные водные объекты, на рельеф местности или в недра не предусматривается.</w:t>
      </w:r>
    </w:p>
    <w:p>
      <w:pPr>
        <w:spacing w:line="252" w:lineRule="auto" w:after="60"/>
        <w:ind w:firstLine="567"/>
        <w:jc w:val="both"/>
      </w:pPr>
      <w:r>
        <w:rPr>
          <w:rFonts w:ascii="Times New Roman" w:hAnsi="Times New Roman" w:eastAsia="Times New Roman"/>
          <w:b w:val="0"/>
          <w:i w:val="0"/>
          <w:sz w:val="22"/>
        </w:rPr>
        <w:t>В период эксплуатации дополнительное хозяйственно-питьевое и техническое водопотребление для шламоотстойника и пруда-испарителя не планируется. Для обслуживания объекта не вводятся дополнительные постоянные рабочие места; работы выполняются существующим персоналом рудника.</w:t>
      </w:r>
    </w:p>
    <w:p>
      <w:pPr>
        <w:pStyle w:val="Heading2"/>
      </w:pPr>
      <w:r>
        <w:t>Обращение с пластовыми водами</w:t>
      </w:r>
    </w:p>
    <w:p>
      <w:pPr>
        <w:spacing w:line="252" w:lineRule="auto" w:after="60"/>
        <w:ind w:firstLine="567"/>
        <w:jc w:val="both"/>
      </w:pPr>
      <w:r>
        <w:rPr>
          <w:rFonts w:ascii="Times New Roman" w:hAnsi="Times New Roman" w:eastAsia="Times New Roman"/>
          <w:b w:val="0"/>
          <w:i w:val="0"/>
          <w:sz w:val="22"/>
        </w:rPr>
        <w:t>Пластовые воды не являются сбросом сточных вод в окружающую среду: они образуются при освоении технологических скважин, доставляются в пруд-испаритель и находятся в пределах специально предназначенного сооружения. Общий расчетный объем поступления пластовых вод за 2027–2031 годы составляет 18 270 м³. Максимальная годовая нагрузка — 5 265 м³ в 2028 году.</w:t>
      </w:r>
    </w:p>
    <w:p>
      <w:pPr>
        <w:pStyle w:val="Heading2"/>
      </w:pPr>
      <w:r>
        <w:t>Охрана почв и земель</w:t>
      </w:r>
    </w:p>
    <w:p>
      <w:pPr>
        <w:spacing w:line="252" w:lineRule="auto" w:after="60"/>
        <w:ind w:firstLine="567"/>
        <w:jc w:val="both"/>
      </w:pPr>
      <w:r>
        <w:rPr>
          <w:rFonts w:ascii="Times New Roman" w:hAnsi="Times New Roman" w:eastAsia="Times New Roman"/>
          <w:b w:val="0"/>
          <w:i w:val="0"/>
          <w:sz w:val="22"/>
        </w:rPr>
        <w:t>Основное возможное воздействие на почвы связано с земляными работами, движением техники, временным размещением строительных материалов и отходов. Для предотвращения загрязнения предусматриваются организация работ строго в отведенных границах, недопущение складирования отходов непосредственно на грунте, использование оборудованных площадок с твердым водонепроницаемым покрытием, контроль возможных проливов и оперативная ликвидация загрязнений.</w:t>
      </w:r>
    </w:p>
    <w:p>
      <w:pPr>
        <w:spacing w:line="252" w:lineRule="auto" w:after="60"/>
        <w:ind w:firstLine="567"/>
        <w:jc w:val="both"/>
      </w:pPr>
      <w:r>
        <w:rPr>
          <w:rFonts w:ascii="Times New Roman" w:hAnsi="Times New Roman" w:eastAsia="Times New Roman"/>
          <w:b w:val="0"/>
          <w:i w:val="0"/>
          <w:sz w:val="22"/>
        </w:rPr>
        <w:t>Особое значение имеет противофильтрационное устройство пруда-испарителя. Геомембрана толщиной 1,5 мм служит барьером между пластовыми водами и грунтовым основанием. Контроль состояния мембраны, берм и приемных устройств должен выполняться в рамках эксплуатации объекта.</w:t>
      </w:r>
    </w:p>
    <w:p>
      <w:pPr>
        <w:spacing w:line="252" w:lineRule="auto" w:after="60"/>
        <w:ind w:firstLine="567"/>
        <w:jc w:val="both"/>
      </w:pPr>
      <w:r>
        <w:rPr>
          <w:rFonts w:ascii="Times New Roman" w:hAnsi="Times New Roman" w:eastAsia="Times New Roman"/>
          <w:b w:val="0"/>
          <w:i w:val="0"/>
          <w:sz w:val="22"/>
        </w:rPr>
        <w:t>После окончания строительных работ временно нарушенные участки подлежат планировке и приведению в состояние, пригодное для дальнейшего использования в пределах производственной территории. На этапе завершения эксплуатации проектируемые сооружения будут учтены в составе мероприятий по ликвидации и рекультивации рудника в соответствии с отдельной проектной документацией.</w:t>
      </w:r>
    </w:p>
    <w:p>
      <w:pPr>
        <w:spacing w:after="0" w:before="0"/>
      </w:pPr>
      <w:r>
        <w:br w:type="page"/>
      </w:r>
    </w:p>
    <w:p>
      <w:pPr>
        <w:pStyle w:val="Heading1"/>
      </w:pPr>
      <w:r>
        <w:t>5. ОТХОДЫ, БИОРАЗНООБРАЗИЕ И БЕЗОПАСНОСТЬ</w:t>
      </w:r>
    </w:p>
    <w:p>
      <w:pPr>
        <w:pStyle w:val="Heading2"/>
      </w:pPr>
      <w:r>
        <w:t>Отходы периода строительства</w:t>
      </w:r>
    </w:p>
    <w:p>
      <w:pPr>
        <w:spacing w:line="252" w:lineRule="auto" w:after="60"/>
        <w:ind w:firstLine="567"/>
        <w:jc w:val="both"/>
      </w:pPr>
      <w:r>
        <w:rPr>
          <w:rFonts w:ascii="Times New Roman" w:hAnsi="Times New Roman" w:eastAsia="Times New Roman"/>
          <w:b w:val="0"/>
          <w:i w:val="0"/>
          <w:sz w:val="22"/>
        </w:rPr>
        <w:t>В период строительства образуются отходы производства и потребления. Они собираются раздельно, накапливаются в специально отведенных местах в промаркированной таре и передаются специализированным организациям. Временное накопление строительных отходов предусматривается на площадках с твердым водонепроницаемым покрытием сроком не более шести месяцев.</w:t>
      </w:r>
    </w:p>
    <w:tbl>
      <w:tblPr>
        <w:tblStyle w:val="TableGrid"/>
        <w:tblW w:type="auto" w:w="0"/>
        <w:jc w:val="center"/>
        <w:tblLook w:firstColumn="1" w:firstRow="1" w:lastColumn="0" w:lastRow="0" w:noHBand="0" w:noVBand="1" w:val="04A0"/>
      </w:tblPr>
      <w:tblGrid>
        <w:gridCol w:w="5128"/>
        <w:gridCol w:w="5128"/>
      </w:tblGrid>
      <w:tr>
        <w:trPr>
          <w:cantSplit/>
          <w:tblHeader w:val="true"/>
        </w:trPr>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8"/>
              </w:rPr>
              <w:t>Вид отхода</w:t>
            </w:r>
          </w:p>
        </w:tc>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8"/>
              </w:rPr>
              <w:t>Количество, т/год</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Твердые коммунальные отходы</w:t>
            </w:r>
          </w:p>
        </w:tc>
        <w:tc>
          <w:tcPr>
            <w:tcW w:type="dxa" w:w="5128"/>
            <w:vAlign w:val="center"/>
          </w:tcPr>
          <w:p>
            <w:pPr>
              <w:spacing w:after="0" w:line="240" w:lineRule="auto"/>
              <w:ind w:firstLine="0"/>
              <w:jc w:val="left"/>
            </w:pPr>
            <w:r/>
            <w:r>
              <w:rPr>
                <w:rFonts w:ascii="Times New Roman" w:hAnsi="Times New Roman" w:eastAsia="Times New Roman"/>
                <w:b w:val="0"/>
                <w:i w:val="0"/>
                <w:sz w:val="18"/>
              </w:rPr>
              <w:t>0,81</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Огарки сварочных электродов</w:t>
            </w:r>
          </w:p>
        </w:tc>
        <w:tc>
          <w:tcPr>
            <w:tcW w:type="dxa" w:w="5128"/>
            <w:vAlign w:val="center"/>
          </w:tcPr>
          <w:p>
            <w:pPr>
              <w:spacing w:after="0" w:line="240" w:lineRule="auto"/>
              <w:ind w:firstLine="0"/>
              <w:jc w:val="left"/>
            </w:pPr>
            <w:r/>
            <w:r>
              <w:rPr>
                <w:rFonts w:ascii="Times New Roman" w:hAnsi="Times New Roman" w:eastAsia="Times New Roman"/>
                <w:b w:val="0"/>
                <w:i w:val="0"/>
                <w:sz w:val="18"/>
              </w:rPr>
              <w:t>0,0006</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Тара из-под лакокрасочных материалов</w:t>
            </w:r>
          </w:p>
        </w:tc>
        <w:tc>
          <w:tcPr>
            <w:tcW w:type="dxa" w:w="5128"/>
            <w:vAlign w:val="center"/>
          </w:tcPr>
          <w:p>
            <w:pPr>
              <w:spacing w:after="0" w:line="240" w:lineRule="auto"/>
              <w:ind w:firstLine="0"/>
              <w:jc w:val="left"/>
            </w:pPr>
            <w:r/>
            <w:r>
              <w:rPr>
                <w:rFonts w:ascii="Times New Roman" w:hAnsi="Times New Roman" w:eastAsia="Times New Roman"/>
                <w:b w:val="0"/>
                <w:i w:val="0"/>
                <w:sz w:val="18"/>
              </w:rPr>
              <w:t>0,067</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Строительные отходы</w:t>
            </w:r>
          </w:p>
        </w:tc>
        <w:tc>
          <w:tcPr>
            <w:tcW w:type="dxa" w:w="5128"/>
            <w:vAlign w:val="center"/>
          </w:tcPr>
          <w:p>
            <w:pPr>
              <w:spacing w:after="0" w:line="240" w:lineRule="auto"/>
              <w:ind w:firstLine="0"/>
              <w:jc w:val="left"/>
            </w:pPr>
            <w:r/>
            <w:r>
              <w:rPr>
                <w:rFonts w:ascii="Times New Roman" w:hAnsi="Times New Roman" w:eastAsia="Times New Roman"/>
                <w:b w:val="0"/>
                <w:i w:val="0"/>
                <w:sz w:val="18"/>
              </w:rPr>
              <w:t>0,9047</w:t>
            </w:r>
          </w:p>
        </w:tc>
      </w:tr>
      <w:tr>
        <w:trPr>
          <w:cantSplit/>
        </w:trPr>
        <w:tc>
          <w:tcPr>
            <w:tcW w:type="dxa" w:w="5128"/>
            <w:vAlign w:val="center"/>
          </w:tcPr>
          <w:p>
            <w:pPr>
              <w:spacing w:after="0" w:line="240" w:lineRule="auto"/>
              <w:ind w:firstLine="0"/>
              <w:jc w:val="left"/>
            </w:pPr>
            <w:r/>
            <w:r>
              <w:rPr>
                <w:rFonts w:ascii="Times New Roman" w:hAnsi="Times New Roman" w:eastAsia="Times New Roman"/>
                <w:b w:val="0"/>
                <w:i w:val="0"/>
                <w:sz w:val="18"/>
              </w:rPr>
              <w:t>Промасленная ветошь</w:t>
            </w:r>
          </w:p>
        </w:tc>
        <w:tc>
          <w:tcPr>
            <w:tcW w:type="dxa" w:w="5128"/>
            <w:vAlign w:val="center"/>
          </w:tcPr>
          <w:p>
            <w:pPr>
              <w:spacing w:after="0" w:line="240" w:lineRule="auto"/>
              <w:ind w:firstLine="0"/>
              <w:jc w:val="left"/>
            </w:pPr>
            <w:r/>
            <w:r>
              <w:rPr>
                <w:rFonts w:ascii="Times New Roman" w:hAnsi="Times New Roman" w:eastAsia="Times New Roman"/>
                <w:b w:val="0"/>
                <w:i w:val="0"/>
                <w:sz w:val="18"/>
              </w:rPr>
              <w:t>0,0000831</w:t>
            </w:r>
          </w:p>
        </w:tc>
      </w:tr>
    </w:tbl>
    <w:p>
      <w:pPr>
        <w:pStyle w:val="Heading2"/>
      </w:pPr>
      <w:r>
        <w:t>Буровой шлам в период эксплуатации</w:t>
      </w:r>
    </w:p>
    <w:p>
      <w:pPr>
        <w:spacing w:line="252" w:lineRule="auto" w:after="60"/>
        <w:ind w:firstLine="567"/>
        <w:jc w:val="both"/>
      </w:pPr>
      <w:r>
        <w:rPr>
          <w:rFonts w:ascii="Times New Roman" w:hAnsi="Times New Roman" w:eastAsia="Times New Roman"/>
          <w:b w:val="0"/>
          <w:i w:val="0"/>
          <w:sz w:val="22"/>
        </w:rPr>
        <w:t>Основным отходом периода эксплуатации является буровой шлам. Его общий объем за 2027–2031 годы составляет 9 019 т. Максимальная годовая нагрузка ожидается в 2028 году — 2 614 т/год. Шламоотстойник используется для приема, временного накопления и естественного обезвоживания, а не для захоронения отходов.</w:t>
      </w:r>
    </w:p>
    <w:tbl>
      <w:tblPr>
        <w:tblStyle w:val="TableGrid"/>
        <w:tblW w:type="auto" w:w="0"/>
        <w:jc w:val="center"/>
        <w:tblLook w:firstColumn="1" w:firstRow="1" w:lastColumn="0" w:lastRow="0" w:noHBand="0" w:noVBand="1" w:val="04A0"/>
      </w:tblPr>
      <w:tblGrid>
        <w:gridCol w:w="5128"/>
        <w:gridCol w:w="5128"/>
      </w:tblGrid>
      <w:tr>
        <w:trPr>
          <w:cantSplit/>
          <w:tblHeader w:val="true"/>
        </w:trPr>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8"/>
              </w:rPr>
              <w:t>Год</w:t>
            </w:r>
          </w:p>
        </w:tc>
        <w:tc>
          <w:tcPr>
            <w:tcW w:type="dxa" w:w="5128"/>
            <w:vAlign w:val="center"/>
            <w:shd w:fill="E7E6E6"/>
          </w:tcPr>
          <w:p>
            <w:pPr>
              <w:spacing w:after="0" w:line="240" w:lineRule="auto"/>
              <w:ind w:firstLine="0"/>
              <w:jc w:val="center"/>
            </w:pPr>
            <w:r>
              <w:rPr>
                <w:b/>
              </w:rPr>
            </w:r>
            <w:r>
              <w:rPr>
                <w:rFonts w:ascii="Times New Roman" w:hAnsi="Times New Roman" w:eastAsia="Times New Roman"/>
                <w:b/>
                <w:i w:val="0"/>
                <w:sz w:val="18"/>
              </w:rPr>
              <w:t>Буровой шлам, т/год</w:t>
            </w:r>
          </w:p>
        </w:tc>
      </w:tr>
      <w:tr>
        <w:trPr>
          <w:cantSplit/>
        </w:trPr>
        <w:tc>
          <w:tcPr>
            <w:tcW w:type="dxa" w:w="5128"/>
            <w:vAlign w:val="center"/>
          </w:tcPr>
          <w:p>
            <w:pPr>
              <w:spacing w:after="0" w:line="240" w:lineRule="auto"/>
              <w:ind w:firstLine="0"/>
              <w:jc w:val="center"/>
            </w:pPr>
            <w:r/>
            <w:r>
              <w:rPr>
                <w:rFonts w:ascii="Times New Roman" w:hAnsi="Times New Roman" w:eastAsia="Times New Roman"/>
                <w:b w:val="0"/>
                <w:i w:val="0"/>
                <w:sz w:val="18"/>
              </w:rPr>
              <w:t>2027</w:t>
            </w:r>
          </w:p>
        </w:tc>
        <w:tc>
          <w:tcPr>
            <w:tcW w:type="dxa" w:w="5128"/>
            <w:vAlign w:val="center"/>
          </w:tcPr>
          <w:p>
            <w:pPr>
              <w:spacing w:after="0" w:line="240" w:lineRule="auto"/>
              <w:ind w:firstLine="0"/>
              <w:jc w:val="center"/>
            </w:pPr>
            <w:r/>
            <w:r>
              <w:rPr>
                <w:rFonts w:ascii="Times New Roman" w:hAnsi="Times New Roman" w:eastAsia="Times New Roman"/>
                <w:b w:val="0"/>
                <w:i w:val="0"/>
                <w:sz w:val="18"/>
              </w:rPr>
              <w:t>1 708</w:t>
            </w:r>
          </w:p>
        </w:tc>
      </w:tr>
      <w:tr>
        <w:trPr>
          <w:cantSplit/>
        </w:trPr>
        <w:tc>
          <w:tcPr>
            <w:tcW w:type="dxa" w:w="5128"/>
            <w:vAlign w:val="center"/>
          </w:tcPr>
          <w:p>
            <w:pPr>
              <w:spacing w:after="0" w:line="240" w:lineRule="auto"/>
              <w:ind w:firstLine="0"/>
              <w:jc w:val="center"/>
            </w:pPr>
            <w:r/>
            <w:r>
              <w:rPr>
                <w:rFonts w:ascii="Times New Roman" w:hAnsi="Times New Roman" w:eastAsia="Times New Roman"/>
                <w:b w:val="0"/>
                <w:i w:val="0"/>
                <w:sz w:val="18"/>
              </w:rPr>
              <w:t>2028</w:t>
            </w:r>
          </w:p>
        </w:tc>
        <w:tc>
          <w:tcPr>
            <w:tcW w:type="dxa" w:w="5128"/>
            <w:vAlign w:val="center"/>
          </w:tcPr>
          <w:p>
            <w:pPr>
              <w:spacing w:after="0" w:line="240" w:lineRule="auto"/>
              <w:ind w:firstLine="0"/>
              <w:jc w:val="center"/>
            </w:pPr>
            <w:r/>
            <w:r>
              <w:rPr>
                <w:rFonts w:ascii="Times New Roman" w:hAnsi="Times New Roman" w:eastAsia="Times New Roman"/>
                <w:b w:val="0"/>
                <w:i w:val="0"/>
                <w:sz w:val="18"/>
              </w:rPr>
              <w:t>2 614</w:t>
            </w:r>
          </w:p>
        </w:tc>
      </w:tr>
      <w:tr>
        <w:trPr>
          <w:cantSplit/>
        </w:trPr>
        <w:tc>
          <w:tcPr>
            <w:tcW w:type="dxa" w:w="5128"/>
            <w:vAlign w:val="center"/>
          </w:tcPr>
          <w:p>
            <w:pPr>
              <w:spacing w:after="0" w:line="240" w:lineRule="auto"/>
              <w:ind w:firstLine="0"/>
              <w:jc w:val="center"/>
            </w:pPr>
            <w:r/>
            <w:r>
              <w:rPr>
                <w:rFonts w:ascii="Times New Roman" w:hAnsi="Times New Roman" w:eastAsia="Times New Roman"/>
                <w:b w:val="0"/>
                <w:i w:val="0"/>
                <w:sz w:val="18"/>
              </w:rPr>
              <w:t>2029</w:t>
            </w:r>
          </w:p>
        </w:tc>
        <w:tc>
          <w:tcPr>
            <w:tcW w:type="dxa" w:w="5128"/>
            <w:vAlign w:val="center"/>
          </w:tcPr>
          <w:p>
            <w:pPr>
              <w:spacing w:after="0" w:line="240" w:lineRule="auto"/>
              <w:ind w:firstLine="0"/>
              <w:jc w:val="center"/>
            </w:pPr>
            <w:r/>
            <w:r>
              <w:rPr>
                <w:rFonts w:ascii="Times New Roman" w:hAnsi="Times New Roman" w:eastAsia="Times New Roman"/>
                <w:b w:val="0"/>
                <w:i w:val="0"/>
                <w:sz w:val="18"/>
              </w:rPr>
              <w:t>390</w:t>
            </w:r>
          </w:p>
        </w:tc>
      </w:tr>
      <w:tr>
        <w:trPr>
          <w:cantSplit/>
        </w:trPr>
        <w:tc>
          <w:tcPr>
            <w:tcW w:type="dxa" w:w="5128"/>
            <w:vAlign w:val="center"/>
          </w:tcPr>
          <w:p>
            <w:pPr>
              <w:spacing w:after="0" w:line="240" w:lineRule="auto"/>
              <w:ind w:firstLine="0"/>
              <w:jc w:val="center"/>
            </w:pPr>
            <w:r/>
            <w:r>
              <w:rPr>
                <w:rFonts w:ascii="Times New Roman" w:hAnsi="Times New Roman" w:eastAsia="Times New Roman"/>
                <w:b w:val="0"/>
                <w:i w:val="0"/>
                <w:sz w:val="18"/>
              </w:rPr>
              <w:t>2030</w:t>
            </w:r>
          </w:p>
        </w:tc>
        <w:tc>
          <w:tcPr>
            <w:tcW w:type="dxa" w:w="5128"/>
            <w:vAlign w:val="center"/>
          </w:tcPr>
          <w:p>
            <w:pPr>
              <w:spacing w:after="0" w:line="240" w:lineRule="auto"/>
              <w:ind w:firstLine="0"/>
              <w:jc w:val="center"/>
            </w:pPr>
            <w:r/>
            <w:r>
              <w:rPr>
                <w:rFonts w:ascii="Times New Roman" w:hAnsi="Times New Roman" w:eastAsia="Times New Roman"/>
                <w:b w:val="0"/>
                <w:i w:val="0"/>
                <w:sz w:val="18"/>
              </w:rPr>
              <w:t>2 076</w:t>
            </w:r>
          </w:p>
        </w:tc>
      </w:tr>
      <w:tr>
        <w:trPr>
          <w:cantSplit/>
        </w:trPr>
        <w:tc>
          <w:tcPr>
            <w:tcW w:type="dxa" w:w="5128"/>
            <w:vAlign w:val="center"/>
          </w:tcPr>
          <w:p>
            <w:pPr>
              <w:spacing w:after="0" w:line="240" w:lineRule="auto"/>
              <w:ind w:firstLine="0"/>
              <w:jc w:val="center"/>
            </w:pPr>
            <w:r/>
            <w:r>
              <w:rPr>
                <w:rFonts w:ascii="Times New Roman" w:hAnsi="Times New Roman" w:eastAsia="Times New Roman"/>
                <w:b w:val="0"/>
                <w:i w:val="0"/>
                <w:sz w:val="18"/>
              </w:rPr>
              <w:t>2031</w:t>
            </w:r>
          </w:p>
        </w:tc>
        <w:tc>
          <w:tcPr>
            <w:tcW w:type="dxa" w:w="5128"/>
            <w:vAlign w:val="center"/>
          </w:tcPr>
          <w:p>
            <w:pPr>
              <w:spacing w:after="0" w:line="240" w:lineRule="auto"/>
              <w:ind w:firstLine="0"/>
              <w:jc w:val="center"/>
            </w:pPr>
            <w:r/>
            <w:r>
              <w:rPr>
                <w:rFonts w:ascii="Times New Roman" w:hAnsi="Times New Roman" w:eastAsia="Times New Roman"/>
                <w:b w:val="0"/>
                <w:i w:val="0"/>
                <w:sz w:val="18"/>
              </w:rPr>
              <w:t>2 231</w:t>
            </w:r>
          </w:p>
        </w:tc>
      </w:tr>
    </w:tbl>
    <w:p>
      <w:pPr>
        <w:spacing w:line="252" w:lineRule="auto" w:after="60"/>
        <w:ind w:firstLine="567"/>
        <w:jc w:val="both"/>
      </w:pPr>
      <w:r>
        <w:rPr>
          <w:rFonts w:ascii="Times New Roman" w:hAnsi="Times New Roman" w:eastAsia="Times New Roman"/>
          <w:b w:val="0"/>
          <w:i w:val="0"/>
          <w:sz w:val="22"/>
        </w:rPr>
        <w:t>После обезвоживания буровой шлам изымается и передается специализированной организации. Продолжительность его временного накопления не должна превышать 12 месяцев. Учет поступления и вывоза бурового шлама, контроль заполнения секций и состояния берм являются обязательными элементами эксплуатационного контроля.</w:t>
      </w:r>
    </w:p>
    <w:p>
      <w:pPr>
        <w:pStyle w:val="Heading2"/>
      </w:pPr>
      <w:r>
        <w:t>Радиационная и промышленная безопасность</w:t>
      </w:r>
    </w:p>
    <w:p>
      <w:pPr>
        <w:spacing w:line="252" w:lineRule="auto" w:after="60"/>
        <w:ind w:firstLine="567"/>
        <w:jc w:val="both"/>
      </w:pPr>
      <w:r>
        <w:rPr>
          <w:rFonts w:ascii="Times New Roman" w:hAnsi="Times New Roman" w:eastAsia="Times New Roman"/>
          <w:b w:val="0"/>
          <w:i w:val="0"/>
          <w:sz w:val="22"/>
        </w:rPr>
        <w:t>С учетом специфики уранодобывающего предприятия обращение с буровым шламом сопровождается производственным и радиационным контролем в рамках действующей системы рудника. Предусматриваются контроль состояния площадки и шламоотстойника, соблюдение безопасного порядка слива и изъятия шлама, использование средств индивидуальной защиты и выполнение внутренних требований по радиационной безопасности.</w:t>
      </w:r>
    </w:p>
    <w:p>
      <w:pPr>
        <w:spacing w:line="252" w:lineRule="auto" w:after="60"/>
        <w:ind w:firstLine="567"/>
        <w:jc w:val="both"/>
      </w:pPr>
      <w:r>
        <w:rPr>
          <w:rFonts w:ascii="Times New Roman" w:hAnsi="Times New Roman" w:eastAsia="Times New Roman"/>
          <w:b w:val="0"/>
          <w:i w:val="0"/>
          <w:sz w:val="22"/>
        </w:rPr>
        <w:t>Аварийные риски связаны преимущественно с возможными проливами при транспортировании и сливе, повреждением берм, переполнением секций либо нарушением противофильтрационного экрана пруда-испарителя. Для предупреждения таких ситуаций предусматриваются регулярные осмотры, контроль уровня заполнения, поддержание проездов и сливных устройств в исправном состоянии, а также готовность к локализации и устранению последствий нештатных ситуаций.</w:t>
      </w:r>
    </w:p>
    <w:p>
      <w:pPr>
        <w:spacing w:after="0" w:before="0"/>
      </w:pPr>
      <w:r>
        <w:br w:type="page"/>
      </w:r>
    </w:p>
    <w:p>
      <w:pPr>
        <w:pStyle w:val="Heading1"/>
      </w:pPr>
      <w:r>
        <w:t>6. ПРИРОДООХРАННЫЕ МЕРОПРИЯТИЯ, МОНИТОРИНГ И ОБЩИЙ ВЫВОД</w:t>
      </w:r>
    </w:p>
    <w:p>
      <w:pPr>
        <w:spacing w:line="252" w:lineRule="auto" w:after="60"/>
        <w:ind w:firstLine="567"/>
        <w:jc w:val="both"/>
      </w:pPr>
      <w:r>
        <w:rPr>
          <w:rFonts w:ascii="Times New Roman" w:hAnsi="Times New Roman" w:eastAsia="Times New Roman"/>
          <w:b w:val="0"/>
          <w:i w:val="0"/>
          <w:sz w:val="22"/>
        </w:rPr>
        <w:t>Проектные решения направлены на то, чтобы основные производственные потоки — буровой шлам и пластовые воды — обращались организованно, в пределах специально предназначенных сооружений. Основной принцип экологической безопасности проекта заключается в предотвращении неконтролируемого попадания отходов и вод на рельеф, в почву, поверхностные и подземные воды.</w:t>
      </w:r>
    </w:p>
    <w:p>
      <w:pPr>
        <w:pStyle w:val="Heading2"/>
      </w:pPr>
      <w:r>
        <w:t>Основные природоохранные мероприятия</w:t>
      </w:r>
    </w:p>
    <w:p>
      <w:pPr>
        <w:spacing w:after="30" w:line="240" w:lineRule="auto"/>
        <w:ind w:left="397" w:hanging="227"/>
        <w:jc w:val="both"/>
      </w:pPr>
      <w:r>
        <w:rPr>
          <w:rFonts w:ascii="Times New Roman" w:hAnsi="Times New Roman" w:eastAsia="Times New Roman"/>
          <w:b w:val="0"/>
          <w:i w:val="0"/>
          <w:sz w:val="20"/>
        </w:rPr>
        <w:t>– ограничение строительных работ границами отведенной площадки и минимизация нарушения земель;</w:t>
      </w:r>
    </w:p>
    <w:p>
      <w:pPr>
        <w:spacing w:after="30" w:line="240" w:lineRule="auto"/>
        <w:ind w:left="397" w:hanging="227"/>
        <w:jc w:val="both"/>
      </w:pPr>
      <w:r>
        <w:rPr>
          <w:rFonts w:ascii="Times New Roman" w:hAnsi="Times New Roman" w:eastAsia="Times New Roman"/>
          <w:b w:val="0"/>
          <w:i w:val="0"/>
          <w:sz w:val="20"/>
        </w:rPr>
        <w:t>– пылеподавление и рациональная организация движения строительной техники;</w:t>
      </w:r>
    </w:p>
    <w:p>
      <w:pPr>
        <w:spacing w:after="30" w:line="240" w:lineRule="auto"/>
        <w:ind w:left="397" w:hanging="227"/>
        <w:jc w:val="both"/>
      </w:pPr>
      <w:r>
        <w:rPr>
          <w:rFonts w:ascii="Times New Roman" w:hAnsi="Times New Roman" w:eastAsia="Times New Roman"/>
          <w:b w:val="0"/>
          <w:i w:val="0"/>
          <w:sz w:val="20"/>
        </w:rPr>
        <w:t>– использование исправных машин и механизмов и недопущение длительной работы двигателей на холостом ходу;</w:t>
      </w:r>
    </w:p>
    <w:p>
      <w:pPr>
        <w:spacing w:after="30" w:line="240" w:lineRule="auto"/>
        <w:ind w:left="397" w:hanging="227"/>
        <w:jc w:val="both"/>
      </w:pPr>
      <w:r>
        <w:rPr>
          <w:rFonts w:ascii="Times New Roman" w:hAnsi="Times New Roman" w:eastAsia="Times New Roman"/>
          <w:b w:val="0"/>
          <w:i w:val="0"/>
          <w:sz w:val="20"/>
        </w:rPr>
        <w:t>– раздельный сбор отходов, их маркировка, учет и временное накопление только в специально оборудованных местах;</w:t>
      </w:r>
    </w:p>
    <w:p>
      <w:pPr>
        <w:spacing w:after="30" w:line="240" w:lineRule="auto"/>
        <w:ind w:left="397" w:hanging="227"/>
        <w:jc w:val="both"/>
      </w:pPr>
      <w:r>
        <w:rPr>
          <w:rFonts w:ascii="Times New Roman" w:hAnsi="Times New Roman" w:eastAsia="Times New Roman"/>
          <w:b w:val="0"/>
          <w:i w:val="0"/>
          <w:sz w:val="20"/>
        </w:rPr>
        <w:t>– своевременная передача строительных отходов и обезвоженного бурового шлама специализированным организациям;</w:t>
      </w:r>
    </w:p>
    <w:p>
      <w:pPr>
        <w:spacing w:after="30" w:line="240" w:lineRule="auto"/>
        <w:ind w:left="397" w:hanging="227"/>
        <w:jc w:val="both"/>
      </w:pPr>
      <w:r>
        <w:rPr>
          <w:rFonts w:ascii="Times New Roman" w:hAnsi="Times New Roman" w:eastAsia="Times New Roman"/>
          <w:b w:val="0"/>
          <w:i w:val="0"/>
          <w:sz w:val="20"/>
        </w:rPr>
        <w:t>– недопущение захоронения бурового шлама в проектируемом шламоотстойнике;</w:t>
      </w:r>
    </w:p>
    <w:p>
      <w:pPr>
        <w:spacing w:after="30" w:line="240" w:lineRule="auto"/>
        <w:ind w:left="397" w:hanging="227"/>
        <w:jc w:val="both"/>
      </w:pPr>
      <w:r>
        <w:rPr>
          <w:rFonts w:ascii="Times New Roman" w:hAnsi="Times New Roman" w:eastAsia="Times New Roman"/>
          <w:b w:val="0"/>
          <w:i w:val="0"/>
          <w:sz w:val="20"/>
        </w:rPr>
        <w:t>– соблюдение срока временного накопления бурового шлама не более 12 месяцев;</w:t>
      </w:r>
    </w:p>
    <w:p>
      <w:pPr>
        <w:spacing w:after="30" w:line="240" w:lineRule="auto"/>
        <w:ind w:left="397" w:hanging="227"/>
        <w:jc w:val="both"/>
      </w:pPr>
      <w:r>
        <w:rPr>
          <w:rFonts w:ascii="Times New Roman" w:hAnsi="Times New Roman" w:eastAsia="Times New Roman"/>
          <w:b w:val="0"/>
          <w:i w:val="0"/>
          <w:sz w:val="20"/>
        </w:rPr>
        <w:t>– контроль герметичности противофильтрационной геомембраны пруда-испарителя;</w:t>
      </w:r>
    </w:p>
    <w:p>
      <w:pPr>
        <w:spacing w:after="30" w:line="240" w:lineRule="auto"/>
        <w:ind w:left="397" w:hanging="227"/>
        <w:jc w:val="both"/>
      </w:pPr>
      <w:r>
        <w:rPr>
          <w:rFonts w:ascii="Times New Roman" w:hAnsi="Times New Roman" w:eastAsia="Times New Roman"/>
          <w:b w:val="0"/>
          <w:i w:val="0"/>
          <w:sz w:val="20"/>
        </w:rPr>
        <w:t>– исключение сброса пластовых и хозяйственно-бытовых вод в водные объекты, на рельеф или в недра;</w:t>
      </w:r>
    </w:p>
    <w:p>
      <w:pPr>
        <w:spacing w:after="30" w:line="240" w:lineRule="auto"/>
        <w:ind w:left="397" w:hanging="227"/>
        <w:jc w:val="both"/>
      </w:pPr>
      <w:r>
        <w:rPr>
          <w:rFonts w:ascii="Times New Roman" w:hAnsi="Times New Roman" w:eastAsia="Times New Roman"/>
          <w:b w:val="0"/>
          <w:i w:val="0"/>
          <w:sz w:val="20"/>
        </w:rPr>
        <w:t>– регулярный контроль состояния берм, проездов, приемных трубопроводов и ограждения;</w:t>
      </w:r>
    </w:p>
    <w:p>
      <w:pPr>
        <w:spacing w:after="30" w:line="240" w:lineRule="auto"/>
        <w:ind w:left="397" w:hanging="227"/>
        <w:jc w:val="both"/>
      </w:pPr>
      <w:r>
        <w:rPr>
          <w:rFonts w:ascii="Times New Roman" w:hAnsi="Times New Roman" w:eastAsia="Times New Roman"/>
          <w:b w:val="0"/>
          <w:i w:val="0"/>
          <w:sz w:val="20"/>
        </w:rPr>
        <w:t>– производственный экологический и радиационный контроль в соответствии с программами предприятия.</w:t>
      </w:r>
    </w:p>
    <w:p>
      <w:pPr>
        <w:pStyle w:val="Heading2"/>
      </w:pPr>
      <w:r>
        <w:t>Производственный экологический контроль</w:t>
      </w:r>
    </w:p>
    <w:p>
      <w:pPr>
        <w:spacing w:line="252" w:lineRule="auto" w:after="60"/>
        <w:ind w:firstLine="567"/>
        <w:jc w:val="both"/>
      </w:pPr>
      <w:r>
        <w:rPr>
          <w:rFonts w:ascii="Times New Roman" w:hAnsi="Times New Roman" w:eastAsia="Times New Roman"/>
          <w:b w:val="0"/>
          <w:i w:val="0"/>
          <w:sz w:val="22"/>
        </w:rPr>
        <w:t>В период строительства контролируются фактические объемы и режимы работ, расход материалов, образование и передача отходов, состояние мест временного накопления, пыление, работа строительной техники и выполнение предусмотренных природоохранных мер. При необходимости выполняются инструментальные наблюдения за состоянием атмосферного воздуха.</w:t>
      </w:r>
    </w:p>
    <w:p>
      <w:pPr>
        <w:spacing w:line="252" w:lineRule="auto" w:after="60"/>
        <w:ind w:firstLine="567"/>
        <w:jc w:val="both"/>
      </w:pPr>
      <w:r>
        <w:rPr>
          <w:rFonts w:ascii="Times New Roman" w:hAnsi="Times New Roman" w:eastAsia="Times New Roman"/>
          <w:b w:val="0"/>
          <w:i w:val="0"/>
          <w:sz w:val="22"/>
        </w:rPr>
        <w:t>В период эксплуатации основное внимание уделяется количественному учету бурового шлама и пластовых вод, соблюдению сроков накопления отходов, состоянию шламоотстойника и пруда-испарителя, контролю противофильтрационного экрана, а также выполнению требований радиационной и промышленной безопасности. Внутренние экологические проверки позволяют своевременно выявлять отклонения и принимать корректирующие меры.</w:t>
      </w:r>
    </w:p>
    <w:p>
      <w:pPr>
        <w:pStyle w:val="Heading2"/>
      </w:pPr>
      <w:r>
        <w:t>Итоговая оценка</w:t>
      </w:r>
    </w:p>
    <w:p>
      <w:pPr>
        <w:spacing w:line="252" w:lineRule="auto" w:after="60"/>
        <w:ind w:firstLine="567"/>
        <w:jc w:val="both"/>
      </w:pPr>
      <w:r>
        <w:rPr>
          <w:rFonts w:ascii="Times New Roman" w:hAnsi="Times New Roman" w:eastAsia="Times New Roman"/>
          <w:b w:val="0"/>
          <w:i w:val="0"/>
          <w:sz w:val="22"/>
        </w:rPr>
        <w:t>Наиболее заметное воздействие проекта ожидается на стадии строительства и связано с временными выбросами в атмосферный воздух, шумом, земляными работами и образованием небольших объемов строительных отходов. Расчетные выбросы невелики, а результаты моделирования показывают отсутствие превышения нормативов качества атмосферного воздуха. После завершения строительства эти источники прекращают действие.</w:t>
      </w:r>
    </w:p>
    <w:p>
      <w:pPr>
        <w:spacing w:line="252" w:lineRule="auto" w:after="60"/>
        <w:ind w:firstLine="567"/>
        <w:jc w:val="both"/>
      </w:pPr>
      <w:r>
        <w:rPr>
          <w:rFonts w:ascii="Times New Roman" w:hAnsi="Times New Roman" w:eastAsia="Times New Roman"/>
          <w:b w:val="0"/>
          <w:i w:val="0"/>
          <w:sz w:val="22"/>
        </w:rPr>
        <w:t>При эксплуатации шламоотстойника и пруда-испарителя стационарные источники выбросов отсутствуют, сброс в окружающую среду не предусматривается. Буровой шлам не захоранивается в сооружении, а временно накапливается, обезвоживается и передается специализированной организации. Пластовые воды принимаются в пруд-испаритель с противофильтрационным экраном и удаляются путем естественного испарения.</w:t>
      </w:r>
    </w:p>
    <w:p>
      <w:pPr>
        <w:spacing w:line="252" w:lineRule="auto" w:after="60"/>
        <w:ind w:firstLine="567"/>
        <w:jc w:val="both"/>
      </w:pPr>
      <w:r>
        <w:rPr>
          <w:rFonts w:ascii="Times New Roman" w:hAnsi="Times New Roman" w:eastAsia="Times New Roman"/>
          <w:b w:val="0"/>
          <w:i w:val="0"/>
          <w:sz w:val="22"/>
        </w:rPr>
        <w:t>С учетом размещения объекта в пределах действующего рудника, удаленности от населенных пунктов и поверхностных водных объектов, ограниченного характера строительных воздействий и предусмотренного комплекса природоохранных мероприятий ожидаемое воздействие проекта оценивается как локальное и контролируемое. Соблюдение проектных решений, экологических нормативов и программы производственного контроля является обязательным условием безопасной реализации намечаемой деятельности.</w:t>
      </w:r>
    </w:p>
    <w:p>
      <w:pPr>
        <w:spacing w:line="252" w:lineRule="auto" w:after="60"/>
        <w:ind w:firstLine="567"/>
        <w:jc w:val="both"/>
      </w:pPr>
      <w:r>
        <w:rPr>
          <w:rFonts w:ascii="Times New Roman" w:hAnsi="Times New Roman" w:eastAsia="Times New Roman"/>
          <w:b w:val="0"/>
          <w:i w:val="0"/>
          <w:sz w:val="22"/>
        </w:rPr>
        <w:t>Проект обеспечивает организованное обращение с отходами бурения и пластовыми водами, что направлено на снижение риска загрязнения окружающей среды и повышение экологической безопасности производственной деятельности рудника «Южный Инкай».</w:t>
      </w:r>
    </w:p>
    <w:sectPr w:rsidR="00FC693F" w:rsidRPr="0006063C" w:rsidSect="00034616">
      <w:headerReference w:type="default" r:id="rId9"/>
      <w:footerReference w:type="default" r:id="rId10"/>
      <w:pgSz w:w="12240" w:h="15840"/>
      <w:pgMar w:top="1020" w:right="850"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r>
      <w:rPr>
        <w:rFonts w:ascii="Times New Roman" w:hAnsi="Times New Roman" w:eastAsia="Times New Roman"/>
        <w:b w:val="0"/>
        <w:i w:val="0"/>
        <w:sz w:val="16"/>
      </w:rPr>
      <w:t>ТОО «СП «ЮГХК» | Нетехническое резюме</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60"/>
      <w:ind w:firstLine="567"/>
      <w:jc w:val="both"/>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00"/>
      <w:ind w:firstLine="0"/>
      <w:jc w:val="center"/>
      <w:outlineLvl w:val="0"/>
    </w:pPr>
    <w:rPr>
      <w:rFonts w:asciiTheme="majorHAnsi" w:eastAsiaTheme="majorEastAsia" w:hAnsiTheme="majorHAnsi" w:cstheme="majorBidi" w:ascii="Times New Roman" w:hAnsi="Times New Roman" w:eastAsia="Times New Roman"/>
      <w:b/>
      <w:bCs/>
      <w:sz w:val="26"/>
      <w:szCs w:val="28"/>
    </w:rPr>
  </w:style>
  <w:style w:type="paragraph" w:styleId="Heading2">
    <w:name w:val="heading 2"/>
    <w:basedOn w:val="Normal"/>
    <w:next w:val="Normal"/>
    <w:link w:val="Heading2Char"/>
    <w:uiPriority w:val="9"/>
    <w:unhideWhenUsed/>
    <w:qFormat/>
    <w:rsid w:val="00FC693F"/>
    <w:pPr>
      <w:keepNext/>
      <w:keepLines/>
      <w:spacing w:before="80" w:after="60"/>
      <w:ind w:firstLine="0"/>
      <w:outlineLvl w:val="1"/>
    </w:pPr>
    <w:rPr>
      <w:rFonts w:asciiTheme="majorHAnsi" w:eastAsiaTheme="majorEastAsia" w:hAnsiTheme="majorHAnsi" w:cstheme="majorBidi" w:ascii="Times New Roman" w:hAnsi="Times New Roman" w:eastAsia="Times New Roman"/>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ind w:firstLine="0"/>
      <w:contextualSpacing/>
      <w:jc w:val="center"/>
    </w:pPr>
    <w:rPr>
      <w:rFonts w:asciiTheme="majorHAnsi" w:eastAsiaTheme="majorEastAsia" w:hAnsiTheme="majorHAnsi" w:cstheme="majorBidi" w:ascii="Times New Roman" w:hAnsi="Times New Roman" w:eastAsia="Times New Roman"/>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Нетехническое резюме проекта шламоотстойника и пруда-испарителя ЮГХК</dc:title>
  <dc:subject>Экологическое разрешение на воздействие, 2027–2031</dc:subject>
  <dc:creator>ТОО «SAAF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