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4303" w14:textId="240291C9" w:rsidR="00CC7AC4" w:rsidRPr="00CB741F" w:rsidRDefault="00CB741F" w:rsidP="00CB741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</w:t>
      </w:r>
      <w:r w:rsidRPr="00CB741F">
        <w:rPr>
          <w:rFonts w:ascii="Times New Roman" w:hAnsi="Times New Roman" w:cs="Times New Roman"/>
          <w:b/>
          <w:bCs/>
          <w:sz w:val="32"/>
          <w:szCs w:val="32"/>
        </w:rPr>
        <w:t>ТОО «</w:t>
      </w:r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Теміржол Жөндеу</w:t>
      </w:r>
      <w:r w:rsidRPr="00CB741F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BE7AB58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A54655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7EBF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5433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9F996D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CDB05B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37104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439E1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159B7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F94740" w14:textId="77777777" w:rsidR="00CC7AC4" w:rsidRPr="00CF3791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 нетехническое резюме</w:t>
      </w:r>
    </w:p>
    <w:p w14:paraId="52C63170" w14:textId="77777777" w:rsidR="006C30DC" w:rsidRPr="006C30DC" w:rsidRDefault="00CC7AC4" w:rsidP="006C30DC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Hlk241779251"/>
      <w:r w:rsidR="00CB741F" w:rsidRPr="00CB741F">
        <w:rPr>
          <w:rFonts w:ascii="Times New Roman" w:hAnsi="Times New Roman" w:cs="Times New Roman"/>
          <w:b/>
          <w:sz w:val="32"/>
          <w:szCs w:val="32"/>
        </w:rPr>
        <w:t>«</w:t>
      </w:r>
      <w:r w:rsidR="006C30DC" w:rsidRPr="006C30DC">
        <w:rPr>
          <w:rFonts w:ascii="Times New Roman" w:hAnsi="Times New Roman" w:cs="Times New Roman"/>
          <w:b/>
          <w:sz w:val="32"/>
          <w:szCs w:val="32"/>
        </w:rPr>
        <w:t>План горных работ</w:t>
      </w:r>
    </w:p>
    <w:p w14:paraId="4549ECF6" w14:textId="18636BDC" w:rsidR="00A86597" w:rsidRPr="00CD0BF5" w:rsidRDefault="006C30DC" w:rsidP="006C30DC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C30DC">
        <w:rPr>
          <w:rFonts w:ascii="Times New Roman" w:hAnsi="Times New Roman" w:cs="Times New Roman"/>
          <w:b/>
          <w:sz w:val="32"/>
          <w:szCs w:val="32"/>
        </w:rPr>
        <w:t>по добыче глинистых пород, песка и известняка (грунта полускального) Грунтового резерва №3, расположенного в Бейнеуском районе Мангистауской области РК для строительства приемоотправочных путей на железнодорожном участке Мангистау-Бейнеу</w:t>
      </w:r>
      <w:r w:rsidR="00CD0BF5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bookmarkEnd w:id="0"/>
    <w:p w14:paraId="6D2417F2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BB36FD2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771DD11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42DE011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CE3F382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3D5051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13DE5CC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E0ADB6C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1AB73A5" w14:textId="77777777" w:rsidR="00A86597" w:rsidRDefault="00A86597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B9805EF" w14:textId="21908E2F" w:rsidR="00303AD1" w:rsidRDefault="00303AD1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AD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D976460" w14:textId="77777777" w:rsidR="00303AD1" w:rsidRDefault="00303AD1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8186DB" w14:textId="77777777" w:rsidR="00303AD1" w:rsidRDefault="00303AD1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E11050" w14:textId="77777777" w:rsidR="00303AD1" w:rsidRDefault="00303AD1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994B792" w14:textId="77777777" w:rsidR="00303AD1" w:rsidRDefault="00303AD1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79EC57" w14:textId="77777777" w:rsidR="00CD0BF5" w:rsidRDefault="00CD0BF5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6F8616" w14:textId="02739078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t>Введение</w:t>
      </w:r>
    </w:p>
    <w:p w14:paraId="3A8CA3CC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>Настоящим  Планом  предусматривается производство горных работ по добыче глинистых пород, песка и известняка (грунта полускального) Грунтового резерва №3, расположенного в Бейнеуском районе Мангистауской области РК для строительства приемоотправочных путей на железнодорожном участке Мангистау-Бейнеу. Заказчиком проекта является ТОО «Теміржол Жөндеу», обладающее правом на разработку глинистых пород, песка и известняка (грунта полускального) на грунтовом резерве № 3.</w:t>
      </w:r>
    </w:p>
    <w:p w14:paraId="40748C2C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 xml:space="preserve">Содержание и форма плана приняты в соответствии с Техническим заданием Заказчика и действующими нормативными документами. </w:t>
      </w:r>
    </w:p>
    <w:p w14:paraId="52323D43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 xml:space="preserve">Добываемое сырье, представленное песком и глинистыми породами, будет использоваться для выполнения работ по проекту «Для строительства приемоотправочных путей на железнодорожном участке  Мангистау-Бейнеу» </w:t>
      </w:r>
    </w:p>
    <w:p w14:paraId="6C6525E7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 xml:space="preserve">Срок эксплуатации карьера – 2 года: 2026-2027 гг. </w:t>
      </w:r>
    </w:p>
    <w:p w14:paraId="7F6C04B4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>Проектируемые к отработке запасы глинистых пород, песка и известняка (грунта полускального) находятся на Государственном балансе и их количество, согласно Экспертного заключения. составляет 510,0 тыс.м3.</w:t>
      </w:r>
    </w:p>
    <w:p w14:paraId="6DFD5BE8" w14:textId="77777777" w:rsidR="006C30DC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 xml:space="preserve">Запасы классифицируются категорией С1. На отработку запасов грунтов получена Картограмма с координатами участка площадью 0,102 км2. Согласно технического задания в 2026-2027 годах будут отработаны все запасы: Эксплуатационные запасы (доказанные KAZRC) с учетом потерь составляют 484,517 тыс. м3. </w:t>
      </w:r>
    </w:p>
    <w:p w14:paraId="1BC13DA3" w14:textId="5F3A12F7" w:rsidR="00CC7AC4" w:rsidRP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DC">
        <w:rPr>
          <w:rFonts w:ascii="Times New Roman" w:hAnsi="Times New Roman" w:cs="Times New Roman"/>
          <w:sz w:val="28"/>
          <w:szCs w:val="28"/>
        </w:rPr>
        <w:t>Рабочая часть проекта разработана ТОО «Актау-ГеоЭкоСервис».</w:t>
      </w:r>
    </w:p>
    <w:p w14:paraId="51F6797A" w14:textId="77777777" w:rsidR="006C30DC" w:rsidRDefault="006C30DC" w:rsidP="006C30D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0A849063" w:rsidR="00CC7AC4" w:rsidRPr="002660F5" w:rsidRDefault="003C7A2F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ТОО «Теміржол Жөндеу»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t>- ознакомления общественности с проектными материалами и документирования высказанных замечаний и предложений.</w:t>
      </w:r>
    </w:p>
    <w:p w14:paraId="52236823" w14:textId="77777777" w:rsidR="00350C42" w:rsidRDefault="00350C42" w:rsidP="00CC7AC4">
      <w:pPr>
        <w:pStyle w:val="Default"/>
        <w:spacing w:before="120" w:after="120"/>
        <w:jc w:val="both"/>
        <w:rPr>
          <w:b/>
          <w:bCs/>
          <w:i/>
        </w:rPr>
      </w:pPr>
    </w:p>
    <w:p w14:paraId="5B1B6AC6" w14:textId="77777777" w:rsidR="00350C42" w:rsidRDefault="00350C42" w:rsidP="00CC7AC4">
      <w:pPr>
        <w:pStyle w:val="Default"/>
        <w:spacing w:before="120" w:after="120"/>
        <w:jc w:val="both"/>
        <w:rPr>
          <w:b/>
          <w:bCs/>
          <w:i/>
        </w:rPr>
      </w:pPr>
    </w:p>
    <w:p w14:paraId="353706E8" w14:textId="335EE8F2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8A2F8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1348C660" w:rsidR="00CC7AC4" w:rsidRPr="00744359" w:rsidRDefault="006C30DC" w:rsidP="006C3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0DC">
        <w:rPr>
          <w:rFonts w:ascii="Times New Roman" w:hAnsi="Times New Roman" w:cs="Times New Roman"/>
          <w:bCs/>
          <w:sz w:val="28"/>
          <w:szCs w:val="28"/>
        </w:rPr>
        <w:t>«План горных работ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30DC">
        <w:rPr>
          <w:rFonts w:ascii="Times New Roman" w:hAnsi="Times New Roman" w:cs="Times New Roman"/>
          <w:bCs/>
          <w:sz w:val="28"/>
          <w:szCs w:val="28"/>
        </w:rPr>
        <w:t>по добыче глинистых пород, песка и известняка (грунта полускального) Грунтового резерва №3, расположенного в Бейнеуском районе Мангистауской области РК для строительства приемоотправочных путей на железнодорожном участке Мангистау-Бейнеу»</w:t>
      </w:r>
      <w:r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>азработан в соответствии с действующими в Республике Казахстан законами и законодательными актами, «Инструкцией по составлению плана горных работ», Кодекса «О недрах 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  <w:r w:rsidR="00350C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61A4DE" w14:textId="77777777" w:rsidR="00DF4199" w:rsidRPr="00744359" w:rsidRDefault="00DF4199" w:rsidP="006C30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375FAF95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Гр№3 разведан ТОО «Актау-ГеоЭкоСервис» в 2026 г. по заявке ТОО «Теміржол Жөндеу».</w:t>
      </w:r>
    </w:p>
    <w:p w14:paraId="6CDFAE3C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В административном отношении Гр№3 находится  на   территории Бейнеуского района и расположен в 70 км на юго-запад от п.Бейнеу (Рис. 1).</w:t>
      </w:r>
    </w:p>
    <w:p w14:paraId="5C2C1C18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В географическом  отношении  район работ  относится к Северному Приаралью. Территория представляет собой полого-холмистую, местами относительно плоскую равнину. Абсолютные отметки составляют 154-184 м. Восточнее этой равнины расположен массив песков Большие Барсуки, который субмеридиональной полосой  шириной до 20 км протягивается через всю площадь листа и уходит на юг за его пределы.Юго-восточная часть описываемой площади занята холмистой сильно расчлененной  равниной с абсолютными отметками 200-341м.  На территории района работ расположены многочисленные  бессточные впадины, занятые сорами, солеными озерами, солончаками и такырами. Наиболее крупные из них (Шолакжидесор, Коргантуз, Кишкенетуз, Тентексор, Копасор) приурочены к западной окраине песков Большие Барсуки.</w:t>
      </w:r>
    </w:p>
    <w:p w14:paraId="233EBEEE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Климат района Согласно СНиП РК 2.04-01-2017 г. «Строительная Климатология», территория изысканий относится к IV Г климатическому подрайону, для которого характерны продолжительное жаркое, засушливое лето и умеренно холодная зима, дефицит атмосферных осадков и активная ветровая деятельность.</w:t>
      </w:r>
    </w:p>
    <w:p w14:paraId="392F6DC1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 xml:space="preserve">Рассматриваемая территория  относится к зоне полупустынь и характеризуется резко континентальным климатом с жарким летом и холодной зимой. </w:t>
      </w:r>
    </w:p>
    <w:p w14:paraId="6B924EEA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 xml:space="preserve">По данным метеостанции  абсолютный максимум ( в июле) достигает +41,9ºС, а абсолютный минимум (в январе) -36,8 ºС. Количество осадков в среднем составляет 161,4 мм/год. Наибольшее количество их выпадает  весной и летом. Район характеризуется сильными порывистыми ветрами во все сезоны, средняя скорость ветра составляет 5,4м/сек, при преобладании ветров северо-восточного и восточного направлений. </w:t>
      </w:r>
    </w:p>
    <w:p w14:paraId="66EA63FC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490AB9DA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 xml:space="preserve">Растительность района скудная и представлена, в основном, типчако-ковыльными травами. Район расположен в зоне типчаково-ковыльных степей, на юге распространены песчаные степи, вдоль русел рек — пойменные леса и луга. </w:t>
      </w:r>
    </w:p>
    <w:p w14:paraId="3B88AAF9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 xml:space="preserve">В песках преобладает злаково-полынная растительность, в понижениях и в песках встречаются кустарники, растёт саксаул. Из краснокнижных видов встречаются люцерна Комарова, тюльпан Борщова,  солянка широколистая,  жузгун печальный. </w:t>
      </w:r>
    </w:p>
    <w:p w14:paraId="0513F6F1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Согласно ГОСТ 17.5.1.03-86 (Охрана природы. Земли.) почвы, в пределах района работ, относится к категории малопригодных.</w:t>
      </w:r>
    </w:p>
    <w:p w14:paraId="69F51EEA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 xml:space="preserve">Животный мир. В целом животный мир  в районе работ  представлен обитателями, свойственными степным, полупустынным и пустынным зонам. В долинах степей и гор встречаются, например, сайгаки, лоси, кабаны, зайцы, корсаки, волки, лисы, суслики и обыкновенные хомяки. В озёрах — лебеди, гуси, утки, а на возвышенностях — стрепеты. </w:t>
      </w:r>
    </w:p>
    <w:p w14:paraId="7BAFED04" w14:textId="77777777" w:rsidR="006C30DC" w:rsidRPr="006C30DC" w:rsidRDefault="006C30DC" w:rsidP="006C30D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C30DC">
        <w:rPr>
          <w:rFonts w:eastAsia="Times New Roman"/>
          <w:color w:val="auto"/>
          <w:sz w:val="28"/>
          <w:szCs w:val="28"/>
          <w:lang w:eastAsia="ru-RU"/>
        </w:rPr>
        <w:t>На площади участка здания и сооружения отсутствуют.</w:t>
      </w:r>
    </w:p>
    <w:p w14:paraId="1AE2FB8F" w14:textId="5BBF2B01" w:rsidR="002A1DE8" w:rsidRPr="00744359" w:rsidRDefault="002A1DE8" w:rsidP="00CD0BF5">
      <w:pPr>
        <w:pStyle w:val="Default"/>
        <w:spacing w:before="120" w:after="120"/>
        <w:ind w:firstLine="709"/>
        <w:jc w:val="both"/>
        <w:rPr>
          <w:b/>
          <w:bCs/>
          <w:i/>
        </w:rPr>
      </w:pPr>
      <w:r w:rsidRPr="00744359">
        <w:rPr>
          <w:b/>
          <w:bCs/>
          <w:i/>
        </w:rPr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процессе  разработки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Исходя из технологического процесса разработки карьера, в пределах исследуемой площади будут проявляться  следующие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Физико-механическое воздействие на почвенный покров будут оказывать  проведение вскрышных, зачистных,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ходе и после окончания  разработки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рекультивационных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Воздействие на земельные ресурсы и почвы при разработке карьера оценивается в пространственном масштабе как локальное, во временном - как длительное  и по величине - как незначительное.</w:t>
      </w:r>
    </w:p>
    <w:p w14:paraId="55594CE8" w14:textId="77777777" w:rsidR="00744359" w:rsidRDefault="00744359" w:rsidP="00401E01">
      <w:pPr>
        <w:pStyle w:val="Default"/>
        <w:ind w:firstLine="709"/>
        <w:jc w:val="center"/>
        <w:rPr>
          <w:i/>
        </w:rPr>
      </w:pPr>
    </w:p>
    <w:p w14:paraId="5EFA74BE" w14:textId="77777777" w:rsidR="002130DF" w:rsidRDefault="002130DF" w:rsidP="00401E01">
      <w:pPr>
        <w:pStyle w:val="Default"/>
        <w:ind w:firstLine="709"/>
        <w:jc w:val="center"/>
        <w:rPr>
          <w:b/>
          <w:bCs/>
          <w:i/>
        </w:rPr>
      </w:pPr>
    </w:p>
    <w:p w14:paraId="264EB84A" w14:textId="77777777" w:rsidR="002130DF" w:rsidRDefault="002130DF" w:rsidP="00401E01">
      <w:pPr>
        <w:pStyle w:val="Default"/>
        <w:ind w:firstLine="709"/>
        <w:jc w:val="center"/>
        <w:rPr>
          <w:b/>
          <w:bCs/>
          <w:i/>
        </w:rPr>
      </w:pPr>
    </w:p>
    <w:p w14:paraId="76BA3A10" w14:textId="77777777" w:rsidR="002130DF" w:rsidRDefault="002130DF" w:rsidP="00401E01">
      <w:pPr>
        <w:pStyle w:val="Default"/>
        <w:ind w:firstLine="709"/>
        <w:jc w:val="center"/>
        <w:rPr>
          <w:b/>
          <w:bCs/>
          <w:i/>
        </w:rPr>
      </w:pPr>
    </w:p>
    <w:p w14:paraId="3129C1ED" w14:textId="77777777" w:rsidR="002130DF" w:rsidRDefault="002130DF" w:rsidP="00401E01">
      <w:pPr>
        <w:pStyle w:val="Default"/>
        <w:ind w:firstLine="709"/>
        <w:jc w:val="center"/>
        <w:rPr>
          <w:b/>
          <w:bCs/>
          <w:i/>
        </w:rPr>
      </w:pPr>
    </w:p>
    <w:p w14:paraId="14BF4768" w14:textId="77777777" w:rsidR="002130DF" w:rsidRDefault="002130DF" w:rsidP="00401E01">
      <w:pPr>
        <w:pStyle w:val="Default"/>
        <w:ind w:firstLine="709"/>
        <w:jc w:val="center"/>
        <w:rPr>
          <w:b/>
          <w:bCs/>
          <w:i/>
        </w:rPr>
      </w:pPr>
    </w:p>
    <w:p w14:paraId="03C2DF77" w14:textId="2A0173AC" w:rsidR="003C7A2F" w:rsidRPr="00744359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lastRenderedPageBreak/>
        <w:t>Краткая характеристика планируемой деятельности</w:t>
      </w:r>
    </w:p>
    <w:p w14:paraId="4E2A7D3E" w14:textId="77777777" w:rsidR="00982EF7" w:rsidRPr="00401E01" w:rsidRDefault="00982EF7" w:rsidP="00401E01">
      <w:pPr>
        <w:pStyle w:val="Default"/>
        <w:ind w:firstLine="709"/>
        <w:jc w:val="center"/>
        <w:rPr>
          <w:spacing w:val="5"/>
          <w:highlight w:val="yellow"/>
        </w:rPr>
      </w:pPr>
    </w:p>
    <w:p w14:paraId="1C9748C1" w14:textId="77777777" w:rsidR="003C7A2F" w:rsidRPr="00401E01" w:rsidRDefault="003C7A2F" w:rsidP="00401E01">
      <w:pPr>
        <w:pStyle w:val="2"/>
        <w:numPr>
          <w:ilvl w:val="0"/>
          <w:numId w:val="0"/>
        </w:numPr>
        <w:spacing w:before="0" w:after="0"/>
        <w:ind w:hanging="576"/>
        <w:jc w:val="center"/>
        <w:rPr>
          <w:rFonts w:ascii="Times New Roman" w:hAnsi="Times New Roman" w:cs="Times New Roman"/>
        </w:rPr>
      </w:pPr>
      <w:bookmarkStart w:id="1" w:name="_Toc489436819"/>
      <w:bookmarkStart w:id="2" w:name="_Toc139109825"/>
      <w:r w:rsidRPr="00401E01">
        <w:rPr>
          <w:rFonts w:ascii="Times New Roman" w:hAnsi="Times New Roman" w:cs="Times New Roman"/>
        </w:rPr>
        <w:t>Основные технико-экономические показатели горного производства</w:t>
      </w:r>
      <w:bookmarkEnd w:id="1"/>
      <w:bookmarkEnd w:id="2"/>
    </w:p>
    <w:p w14:paraId="310B9EA1" w14:textId="64516DF3" w:rsidR="002130DF" w:rsidRPr="002130DF" w:rsidRDefault="002130DF" w:rsidP="007D1018">
      <w:pPr>
        <w:pStyle w:val="a6"/>
        <w:spacing w:line="240" w:lineRule="auto"/>
        <w:ind w:left="0"/>
        <w:rPr>
          <w:spacing w:val="5"/>
          <w:sz w:val="24"/>
          <w:lang w:val="kk-KZ"/>
        </w:rPr>
      </w:pPr>
      <w:r w:rsidRPr="002130DF">
        <w:rPr>
          <w:spacing w:val="5"/>
          <w:sz w:val="24"/>
        </w:rPr>
        <w:t>Технологические показатели горного производства определены и рассчитаны согласно условиям технического задания по годовому объему добычи, с учетом особенностей строения месторождения и горно-технологических условий отработки</w:t>
      </w:r>
      <w:r>
        <w:rPr>
          <w:spacing w:val="5"/>
          <w:sz w:val="24"/>
          <w:lang w:val="kk-KZ"/>
        </w:rPr>
        <w:t>.</w:t>
      </w:r>
    </w:p>
    <w:p w14:paraId="647A3EA6" w14:textId="22F3EA61" w:rsidR="003C7A2F" w:rsidRDefault="003C7A2F" w:rsidP="007D1018">
      <w:pPr>
        <w:pStyle w:val="a6"/>
        <w:spacing w:line="240" w:lineRule="auto"/>
        <w:ind w:left="0"/>
        <w:rPr>
          <w:b/>
          <w:spacing w:val="5"/>
          <w:sz w:val="24"/>
        </w:rPr>
      </w:pPr>
      <w:r w:rsidRPr="00A273FF">
        <w:rPr>
          <w:b/>
          <w:spacing w:val="5"/>
          <w:sz w:val="24"/>
        </w:rPr>
        <w:t>Основные технико-экономические показатели работы карьера</w:t>
      </w:r>
    </w:p>
    <w:tbl>
      <w:tblPr>
        <w:tblW w:w="9530" w:type="dxa"/>
        <w:tblInd w:w="98" w:type="dxa"/>
        <w:tblLook w:val="0000" w:firstRow="0" w:lastRow="0" w:firstColumn="0" w:lastColumn="0" w:noHBand="0" w:noVBand="0"/>
      </w:tblPr>
      <w:tblGrid>
        <w:gridCol w:w="1260"/>
        <w:gridCol w:w="4690"/>
        <w:gridCol w:w="1860"/>
        <w:gridCol w:w="1720"/>
      </w:tblGrid>
      <w:tr w:rsidR="002130DF" w14:paraId="08EA5602" w14:textId="77777777" w:rsidTr="00284345">
        <w:trPr>
          <w:trHeight w:val="289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36372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bookmarkStart w:id="3" w:name="_GoBack" w:colFirst="0" w:colLast="3"/>
            <w:r w:rsidRPr="002130DF">
              <w:rPr>
                <w:color w:val="000000"/>
                <w:sz w:val="20"/>
                <w:szCs w:val="20"/>
              </w:rPr>
              <w:t>№№ п/п</w:t>
            </w:r>
          </w:p>
        </w:tc>
        <w:tc>
          <w:tcPr>
            <w:tcW w:w="4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2AD5C4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57B9BD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7D531D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Величина показателя</w:t>
            </w:r>
          </w:p>
        </w:tc>
      </w:tr>
      <w:tr w:rsidR="002130DF" w14:paraId="1D397018" w14:textId="77777777" w:rsidTr="00284345">
        <w:trPr>
          <w:trHeight w:val="33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F22F5E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FFC2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9E15A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570A77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4</w:t>
            </w:r>
          </w:p>
        </w:tc>
      </w:tr>
      <w:tr w:rsidR="002130DF" w14:paraId="44916DEF" w14:textId="77777777" w:rsidTr="00284345">
        <w:trPr>
          <w:trHeight w:val="6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8DFBA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CBCB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Геологические запасы в контуре карьера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E194E6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тыс.м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1A0729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484,517</w:t>
            </w:r>
          </w:p>
        </w:tc>
      </w:tr>
      <w:tr w:rsidR="002130DF" w14:paraId="26D391C4" w14:textId="77777777" w:rsidTr="00284345">
        <w:trPr>
          <w:trHeight w:val="45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A3352F4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E02080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Потери, всего. в том числе: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EFB910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3F84749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2130DF" w14:paraId="7E483FAA" w14:textId="77777777" w:rsidTr="00284345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8BC24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9E35C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83FCAA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80E119" w14:textId="77777777" w:rsidR="002130DF" w:rsidRPr="002130DF" w:rsidRDefault="002130DF" w:rsidP="002130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130DF" w14:paraId="3C7D817B" w14:textId="77777777" w:rsidTr="00284345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BF56D1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B7265B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общекарьерные потери в целиках охранных зон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5EB51CD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 тыс.м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520F5AB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130DF" w14:paraId="27CB0F7B" w14:textId="77777777" w:rsidTr="00284345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DD15CA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99B282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62140D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A7DCB7" w14:textId="77777777" w:rsidR="002130DF" w:rsidRPr="002130DF" w:rsidRDefault="002130DF" w:rsidP="002130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130DF" w14:paraId="716D1B4B" w14:textId="77777777" w:rsidTr="00284345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1DA199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CD421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эксплуатационные потери первой группы,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6D98E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 тыс.м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902F22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2130DF" w14:paraId="693F5001" w14:textId="77777777" w:rsidTr="00284345">
        <w:trPr>
          <w:trHeight w:val="3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BCF47A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FB92E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в кровле полезной толщи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3FBD06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 тыс.м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4391D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2130DF" w14:paraId="20826DEA" w14:textId="77777777" w:rsidTr="00284345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ED2136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1FEF3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в бортах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288EE3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FE4AA4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2130DF" w14:paraId="75E21CB8" w14:textId="77777777" w:rsidTr="00284345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BF790F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40021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в подошве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D5B6FF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DA39A4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2130DF" w14:paraId="17399379" w14:textId="77777777" w:rsidTr="00284345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74BE5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B8225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Эксплуатационные потери второй группы, в том числе: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0A7019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7B38A9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0,4/1,94</w:t>
            </w:r>
          </w:p>
        </w:tc>
      </w:tr>
      <w:tr w:rsidR="002130DF" w14:paraId="2227C585" w14:textId="77777777" w:rsidTr="00284345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DB47E6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620C35" w14:textId="77777777" w:rsidR="002130DF" w:rsidRPr="002130DF" w:rsidRDefault="002130DF" w:rsidP="002130DF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 на транспортных путях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7B3C4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510F2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0,4/1,94</w:t>
            </w:r>
          </w:p>
        </w:tc>
      </w:tr>
      <w:tr w:rsidR="002130DF" w14:paraId="0A9B53CC" w14:textId="77777777" w:rsidTr="00284345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13C3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00971F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Разубоживание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B26B7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%/тыс.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24B30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130DF" w14:paraId="27A90DDB" w14:textId="77777777" w:rsidTr="00284345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EA670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7FD1BC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Эксплуатационные запасы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DF0BE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295B87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484,52</w:t>
            </w:r>
          </w:p>
        </w:tc>
      </w:tr>
      <w:tr w:rsidR="002130DF" w14:paraId="6B774EBC" w14:textId="77777777" w:rsidTr="00284345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54CC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DFF776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Объем вскрышных пород, всего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256367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6331B9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10,2</w:t>
            </w:r>
          </w:p>
        </w:tc>
      </w:tr>
      <w:tr w:rsidR="002130DF" w14:paraId="0896A102" w14:textId="77777777" w:rsidTr="00284345">
        <w:trPr>
          <w:trHeight w:val="6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5B147BE7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6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BE245A1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Объем горно-капитальных и горно-подготовительных работ, всего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7295FCDD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тыс. м</w:t>
            </w:r>
            <w:r w:rsidRPr="002130DF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7F12A025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130DF">
              <w:rPr>
                <w:b/>
                <w:bCs/>
                <w:sz w:val="20"/>
                <w:szCs w:val="20"/>
              </w:rPr>
              <w:t>10,2</w:t>
            </w:r>
          </w:p>
        </w:tc>
      </w:tr>
      <w:tr w:rsidR="002130DF" w14:paraId="63F6A348" w14:textId="77777777" w:rsidTr="00284345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B7D0E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E945D2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 xml:space="preserve">в том числе: 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286AED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9AAD49" w14:textId="77777777" w:rsidR="002130DF" w:rsidRPr="002130DF" w:rsidRDefault="002130DF" w:rsidP="002130D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2130DF" w14:paraId="24CA7E6C" w14:textId="77777777" w:rsidTr="00284345">
        <w:trPr>
          <w:trHeight w:val="38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E2F23A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35238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 xml:space="preserve">1. На эксплуатационном этапе: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25FC31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тыс. м</w:t>
            </w:r>
            <w:r w:rsidRPr="002130DF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48D971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10,2</w:t>
            </w:r>
          </w:p>
        </w:tc>
      </w:tr>
      <w:tr w:rsidR="002130DF" w14:paraId="2615CC61" w14:textId="77777777" w:rsidTr="00284345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760BBD2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7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5121ED0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Календарная производительность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334DBE4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DE49AD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130DF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130DF" w14:paraId="32BF72C6" w14:textId="77777777" w:rsidTr="00284345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4E72A4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0C968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карьера: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8B6DBB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FD5556" w14:textId="77777777" w:rsidR="002130DF" w:rsidRPr="002130DF" w:rsidRDefault="002130DF" w:rsidP="002130DF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2130DF" w14:paraId="4F82146A" w14:textId="77777777" w:rsidTr="00284345">
        <w:trPr>
          <w:trHeight w:val="672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A2E80C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D1790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 по пол.ископаемому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6DA4E3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тыс. м</w:t>
            </w:r>
            <w:r w:rsidRPr="002130DF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2130DF">
              <w:rPr>
                <w:sz w:val="20"/>
                <w:szCs w:val="20"/>
              </w:rPr>
              <w:t>/год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5B6D6E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 xml:space="preserve">. - 339,16;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>. - 145,36</w:t>
            </w:r>
          </w:p>
        </w:tc>
      </w:tr>
      <w:tr w:rsidR="002130DF" w14:paraId="3F829F31" w14:textId="77777777" w:rsidTr="00284345">
        <w:trPr>
          <w:trHeight w:val="6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55FF4C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2FE9D1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        по горной массе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29BD49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4F6280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 xml:space="preserve">. - 346,3;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>. - 148,42</w:t>
            </w:r>
          </w:p>
        </w:tc>
      </w:tr>
      <w:tr w:rsidR="002130DF" w14:paraId="25DF298E" w14:textId="77777777" w:rsidTr="00284345">
        <w:trPr>
          <w:trHeight w:val="3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121FAB6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8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9BDEC6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Режим работы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E36C8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48833B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сезонный</w:t>
            </w:r>
          </w:p>
        </w:tc>
      </w:tr>
      <w:tr w:rsidR="002130DF" w14:paraId="4638880F" w14:textId="77777777" w:rsidTr="00284345">
        <w:trPr>
          <w:trHeight w:val="58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49EC1F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F462AA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 рабочих суток в году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9E1E9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DC6C6D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 xml:space="preserve">. - 77;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2130DF">
                <w:rPr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2130DF">
              <w:rPr>
                <w:b/>
                <w:bCs/>
                <w:color w:val="000000"/>
                <w:sz w:val="20"/>
                <w:szCs w:val="20"/>
              </w:rPr>
              <w:t>. - 33</w:t>
            </w:r>
          </w:p>
        </w:tc>
      </w:tr>
      <w:tr w:rsidR="002130DF" w14:paraId="574875AE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C88809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1779EB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        рабочих дней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CEC23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EBDB4A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130DF" w14:paraId="4C7D09D0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D77F36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37FCC8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        рабочих смен в сутки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E9470A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смен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57484A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130DF" w14:paraId="672085AC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EE3C9D" w14:textId="77777777" w:rsidR="002130DF" w:rsidRPr="002130DF" w:rsidRDefault="002130DF" w:rsidP="002130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983AE4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        продолжительность смены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17E704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час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06420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2130DF" w14:paraId="047CF316" w14:textId="77777777" w:rsidTr="00284345">
        <w:trPr>
          <w:trHeight w:val="3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5B503F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C668E9F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Применяемое оборудование на вскрыше и добыче: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57A4CD1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FE1CCD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130DF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130DF" w14:paraId="7585D4E3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863A5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789037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4176CF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779B18" w14:textId="77777777" w:rsidR="002130DF" w:rsidRPr="002130DF" w:rsidRDefault="002130DF" w:rsidP="002130DF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2130DF" w14:paraId="39969841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44FB42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67D0F1" w14:textId="77777777" w:rsidR="002130DF" w:rsidRPr="002130DF" w:rsidRDefault="002130DF" w:rsidP="002130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Экскаватор HYUNDAI R500LC-7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C78FB5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E0EAA4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2130DF" w14:paraId="2EE21F13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5BC70F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0754D" w14:textId="77777777" w:rsidR="002130DF" w:rsidRPr="002130DF" w:rsidRDefault="002130DF" w:rsidP="002130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Бульдозер SD-23 Шантуй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0BF32" w14:textId="77777777" w:rsidR="002130DF" w:rsidRPr="002130DF" w:rsidRDefault="002130DF" w:rsidP="00213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43D227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2130DF" w14:paraId="6692E270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CEEDF3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B5926" w14:textId="77777777" w:rsidR="002130DF" w:rsidRPr="002130DF" w:rsidRDefault="002130DF" w:rsidP="002130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HOWO ZZ3257M3641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E7C06E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CDE33A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13 (13)</w:t>
            </w:r>
          </w:p>
        </w:tc>
      </w:tr>
      <w:tr w:rsidR="002130DF" w14:paraId="76741101" w14:textId="77777777" w:rsidTr="00284345">
        <w:trPr>
          <w:trHeight w:val="6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C05CFA3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FB57BC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Списочный (явочный) состав обслуживающего персонала, всего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661B7FD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DDC45F2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130DF" w14:paraId="5E258806" w14:textId="77777777" w:rsidTr="00284345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D4720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15E88E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в том числе: ИТР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2B66CBE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B768DAB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44 (44)</w:t>
            </w:r>
          </w:p>
        </w:tc>
      </w:tr>
      <w:tr w:rsidR="002130DF" w14:paraId="41FF895B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E0432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7CAAAD" w14:textId="77777777" w:rsidR="002130DF" w:rsidRPr="002130DF" w:rsidRDefault="002130DF" w:rsidP="002130DF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2130D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AC6638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DA551A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130DF" w14:paraId="248D7384" w14:textId="77777777" w:rsidTr="00284345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4549C5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42BB8A6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начальник участка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C5786F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4E23162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130DF" w14:paraId="331C36B0" w14:textId="77777777" w:rsidTr="00284345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954C9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7A9360C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горный мастер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8B2C5E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3321354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130DF" w14:paraId="1FF3E34B" w14:textId="77777777" w:rsidTr="00284345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6AC81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78C1100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маркшейдер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374E845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6FF6C8B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130DF" w14:paraId="192A7D7E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638312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A826AE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геолог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E08C37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702438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130DF" w14:paraId="065A75D0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1D1C13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CABB7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рабочих: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860D9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C4E38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42 (42)</w:t>
            </w:r>
          </w:p>
        </w:tc>
      </w:tr>
      <w:tr w:rsidR="002130DF" w14:paraId="6C5536A8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665B1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CC179D8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 xml:space="preserve">       -     машинист экскаватора/погрузч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6C09F0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63E6A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2130DF" w14:paraId="5EC99866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1EB62E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13FD2F5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sz w:val="20"/>
                <w:szCs w:val="20"/>
              </w:rPr>
            </w:pPr>
            <w:r w:rsidRPr="002130DF">
              <w:rPr>
                <w:sz w:val="20"/>
                <w:szCs w:val="20"/>
              </w:rPr>
              <w:t>-        машинист бульдозера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88CEF72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ADE95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2130DF" w14:paraId="6DA8231E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E86994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275285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водитель автосамосвала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895869D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5A2E1F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26 (26)</w:t>
            </w:r>
          </w:p>
        </w:tc>
      </w:tr>
      <w:tr w:rsidR="002130DF" w14:paraId="417A1CEF" w14:textId="77777777" w:rsidTr="00284345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581727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C7D2AAD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 водитель поливомоечной машины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8DB242F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080A26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2130DF" w14:paraId="0F0F1AA0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B4E175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A39F6CF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водитель вахтовки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CBE2A9C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755A1E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2130DF" w14:paraId="1EF1F184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7D2AFD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9E714F6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слесарь ремонтник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11BEE2B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8CC86D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2130DF" w14:paraId="6699B222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CB085B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20C55C4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охранник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E42F75A" w14:textId="77777777" w:rsidR="002130DF" w:rsidRPr="002130DF" w:rsidRDefault="002130DF" w:rsidP="002130D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18058C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2130DF" w14:paraId="3448F202" w14:textId="77777777" w:rsidTr="00284345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53C03B" w14:textId="77777777" w:rsidR="002130DF" w:rsidRPr="002130DF" w:rsidRDefault="002130DF" w:rsidP="002130D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027744" w14:textId="77777777" w:rsidR="002130DF" w:rsidRPr="002130DF" w:rsidRDefault="002130DF" w:rsidP="002130DF">
            <w:pPr>
              <w:spacing w:after="0" w:line="240" w:lineRule="auto"/>
              <w:ind w:firstLineChars="400" w:firstLine="800"/>
              <w:rPr>
                <w:color w:val="000000"/>
                <w:sz w:val="20"/>
                <w:szCs w:val="20"/>
              </w:rPr>
            </w:pPr>
            <w:r w:rsidRPr="002130DF">
              <w:rPr>
                <w:color w:val="000000"/>
                <w:sz w:val="20"/>
                <w:szCs w:val="20"/>
              </w:rPr>
              <w:t>-        техничка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A651C1" w14:textId="77777777" w:rsidR="002130DF" w:rsidRPr="002130DF" w:rsidRDefault="002130DF" w:rsidP="002130DF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2130D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9B423D" w14:textId="77777777" w:rsidR="002130DF" w:rsidRPr="002130DF" w:rsidRDefault="002130DF" w:rsidP="002130D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30DF">
              <w:rPr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bookmarkEnd w:id="3"/>
    </w:tbl>
    <w:p w14:paraId="027362AF" w14:textId="77777777" w:rsidR="002130DF" w:rsidRPr="00A273FF" w:rsidRDefault="002130DF" w:rsidP="007D1018">
      <w:pPr>
        <w:pStyle w:val="a6"/>
        <w:spacing w:line="240" w:lineRule="auto"/>
        <w:ind w:left="0"/>
        <w:rPr>
          <w:b/>
          <w:spacing w:val="5"/>
          <w:sz w:val="24"/>
        </w:rPr>
      </w:pPr>
    </w:p>
    <w:sectPr w:rsidR="002130DF" w:rsidRPr="00A273F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130DF"/>
    <w:rsid w:val="00233F0E"/>
    <w:rsid w:val="002660F5"/>
    <w:rsid w:val="002A1DE8"/>
    <w:rsid w:val="002A5C95"/>
    <w:rsid w:val="002B76C0"/>
    <w:rsid w:val="00303AD1"/>
    <w:rsid w:val="0035000B"/>
    <w:rsid w:val="00350C42"/>
    <w:rsid w:val="0039553A"/>
    <w:rsid w:val="003C7A2F"/>
    <w:rsid w:val="00401E01"/>
    <w:rsid w:val="00440761"/>
    <w:rsid w:val="00516BE0"/>
    <w:rsid w:val="005C0B6D"/>
    <w:rsid w:val="0061065C"/>
    <w:rsid w:val="00636255"/>
    <w:rsid w:val="006B619C"/>
    <w:rsid w:val="006C0B77"/>
    <w:rsid w:val="006C1B0F"/>
    <w:rsid w:val="006C30DC"/>
    <w:rsid w:val="0072494B"/>
    <w:rsid w:val="00744359"/>
    <w:rsid w:val="00794214"/>
    <w:rsid w:val="007D1018"/>
    <w:rsid w:val="008242FF"/>
    <w:rsid w:val="00870751"/>
    <w:rsid w:val="0087156B"/>
    <w:rsid w:val="008A2F81"/>
    <w:rsid w:val="008A385F"/>
    <w:rsid w:val="008E1D13"/>
    <w:rsid w:val="00922C48"/>
    <w:rsid w:val="00982EF7"/>
    <w:rsid w:val="009A7F88"/>
    <w:rsid w:val="009D4C02"/>
    <w:rsid w:val="00A30E7A"/>
    <w:rsid w:val="00A61BC6"/>
    <w:rsid w:val="00A6742D"/>
    <w:rsid w:val="00A86597"/>
    <w:rsid w:val="00AB2FB2"/>
    <w:rsid w:val="00AE2929"/>
    <w:rsid w:val="00AF046F"/>
    <w:rsid w:val="00B11BDD"/>
    <w:rsid w:val="00B915B7"/>
    <w:rsid w:val="00C572E6"/>
    <w:rsid w:val="00CB741F"/>
    <w:rsid w:val="00CC7AC4"/>
    <w:rsid w:val="00CD0BF5"/>
    <w:rsid w:val="00CE3FBC"/>
    <w:rsid w:val="00D43CEE"/>
    <w:rsid w:val="00DE5DF9"/>
    <w:rsid w:val="00DF4199"/>
    <w:rsid w:val="00E173C7"/>
    <w:rsid w:val="00E848BF"/>
    <w:rsid w:val="00E91A7F"/>
    <w:rsid w:val="00EA59DF"/>
    <w:rsid w:val="00EE4070"/>
    <w:rsid w:val="00F12C76"/>
    <w:rsid w:val="00FB064A"/>
    <w:rsid w:val="00FC10EC"/>
    <w:rsid w:val="00FD6DEE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2026-06-10T11:21:00Z</cp:lastPrinted>
  <dcterms:created xsi:type="dcterms:W3CDTF">2024-01-11T12:10:00Z</dcterms:created>
  <dcterms:modified xsi:type="dcterms:W3CDTF">2026-10-01T15:38:00Z</dcterms:modified>
</cp:coreProperties>
</file>