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D72" w:rsidRPr="00537279" w:rsidRDefault="00565D72" w:rsidP="00565D72">
      <w:pPr>
        <w:pStyle w:val="1"/>
      </w:pPr>
      <w:r w:rsidRPr="00537279">
        <w:t xml:space="preserve">Краткое нетехническое резюме </w:t>
      </w:r>
      <w:r w:rsidR="007D08CB">
        <w:rPr>
          <w:szCs w:val="28"/>
          <w:lang w:val="ru-RU"/>
        </w:rPr>
        <w:t xml:space="preserve">для получения эрв по  месторождению </w:t>
      </w:r>
      <w:r w:rsidR="007D08CB">
        <w:rPr>
          <w:szCs w:val="28"/>
          <w:lang w:val="ru-RU"/>
        </w:rPr>
        <w:t>итауыз</w:t>
      </w:r>
      <w:r w:rsidR="007D08CB">
        <w:rPr>
          <w:szCs w:val="28"/>
          <w:lang w:val="ru-RU"/>
        </w:rPr>
        <w:t xml:space="preserve"> на 2027 год</w:t>
      </w:r>
    </w:p>
    <w:p w:rsidR="00565D72" w:rsidRPr="00537279" w:rsidRDefault="00565D72" w:rsidP="00565D72">
      <w:pPr>
        <w:pStyle w:val="a3"/>
        <w:spacing w:after="0"/>
        <w:rPr>
          <w:rFonts w:ascii="Times New Roman" w:hAnsi="Times New Roman"/>
          <w:sz w:val="28"/>
          <w:szCs w:val="28"/>
        </w:rPr>
      </w:pPr>
    </w:p>
    <w:p w:rsidR="00EE4C23" w:rsidRPr="00BA3011" w:rsidRDefault="00EE4C23" w:rsidP="00BA3011">
      <w:pPr>
        <w:tabs>
          <w:tab w:val="left" w:pos="1134"/>
          <w:tab w:val="left" w:pos="127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Месторождени</w:t>
      </w:r>
      <w:r w:rsidRPr="00BA3011">
        <w:rPr>
          <w:rFonts w:ascii="Times New Roman" w:hAnsi="Times New Roman"/>
          <w:sz w:val="28"/>
          <w:szCs w:val="28"/>
          <w:lang w:val="kk-KZ"/>
        </w:rPr>
        <w:t>е</w:t>
      </w:r>
      <w:r w:rsidRPr="00BA3011">
        <w:rPr>
          <w:rFonts w:ascii="Times New Roman" w:hAnsi="Times New Roman"/>
          <w:sz w:val="28"/>
          <w:szCs w:val="28"/>
        </w:rPr>
        <w:t xml:space="preserve"> Итауыз Жиландинской группы месторождений расположена в Республике Казахстан, области Ұлытау, на расстоянии 24 км севернее от г. Сатпаев. </w:t>
      </w:r>
    </w:p>
    <w:p w:rsidR="00EE4C23" w:rsidRPr="00BA3011" w:rsidRDefault="00EE4C23" w:rsidP="00BA3011">
      <w:pPr>
        <w:tabs>
          <w:tab w:val="left" w:pos="993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b/>
          <w:sz w:val="28"/>
          <w:szCs w:val="28"/>
        </w:rPr>
        <w:t xml:space="preserve">Вид основной деятельности: </w:t>
      </w:r>
      <w:r w:rsidRPr="00BA3011">
        <w:rPr>
          <w:rFonts w:ascii="Times New Roman" w:hAnsi="Times New Roman"/>
          <w:sz w:val="28"/>
          <w:szCs w:val="28"/>
        </w:rPr>
        <w:t>Проведение добычи медных руд подземным способом.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BA3011">
        <w:rPr>
          <w:rFonts w:ascii="Times New Roman" w:hAnsi="Times New Roman"/>
          <w:b/>
          <w:sz w:val="28"/>
          <w:szCs w:val="28"/>
        </w:rPr>
        <w:t xml:space="preserve">Количество промплощадок и их адреса: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Все проектируемые здания и сооружения расположены на двадцати существующих и проектируемых площадках, удаленных друг от друга на различные расстояния: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существующий карьер «Итауыз» и породные отвалы;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существующая перегрузочная площадка в ж/д транспорт;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площадка портала 1 (в карьере «Итауыз»);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площадка портала 2 (в карьере «Итауыз»);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площадка портал 3 (в карьере «Итауыз»);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площадка выездной траншеи с порталом 4 (УПГР);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площадка обработки вагонов соляным раствором;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площадка пруда-испарителя №1 для шахт «Восточная Сары-Оба», «Западная Сары-Оба», «Итауыз», «Карашошак».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Существующая площадка карьера «Итауыз» и породные отвалы представляют из себя карьер вытянутой формы с севера на юг, длиной около 2500 м и шириной около 500 м и породные отвалы, расположенные с западной, южной и восточной сторон от существующего карьера.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Существующая перегрузочная площадка в железнодорожный транспорт расположена в юго-восточном направлении от карьера на расстоянии 700 м. Погрузка руды ведется в вагоны, подаваемые тепловозом по существующему железнодорожному пути и отправляется на Жезказганскую обогатительную фабрику.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Площадка портала 1 расположена внутри карьера «Итауыз» в южной его части.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Площадка портала 2 расположена внутри карьера «Итауыз» в центральной его части.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Площадка портала 3 расположена внутри карьера «Итауыз» в северной его части.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Площадка выездной траншеи с порталом 4 (УПГР) расположена в направлении на север от существующего карьера на расстоянии около 0,7 км. На площадке расположены следующие объекты:</w:t>
      </w:r>
    </w:p>
    <w:p w:rsidR="00EE4C23" w:rsidRPr="00BA3011" w:rsidRDefault="00EE4C23" w:rsidP="00BA3011">
      <w:pPr>
        <w:numPr>
          <w:ilvl w:val="0"/>
          <w:numId w:val="6"/>
        </w:numPr>
        <w:kinsoku/>
        <w:overflowPunct/>
        <w:autoSpaceDE/>
        <w:autoSpaceDN/>
        <w:adjustRightInd/>
        <w:snapToGrid/>
        <w:spacing w:after="0"/>
        <w:ind w:left="0"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выездная траншея;</w:t>
      </w:r>
    </w:p>
    <w:p w:rsidR="00EE4C23" w:rsidRPr="00BA3011" w:rsidRDefault="00EE4C23" w:rsidP="00BA3011">
      <w:pPr>
        <w:numPr>
          <w:ilvl w:val="0"/>
          <w:numId w:val="6"/>
        </w:numPr>
        <w:kinsoku/>
        <w:overflowPunct/>
        <w:autoSpaceDE/>
        <w:autoSpaceDN/>
        <w:adjustRightInd/>
        <w:snapToGrid/>
        <w:spacing w:after="0"/>
        <w:ind w:left="0"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портал 4</w:t>
      </w:r>
      <w:r w:rsidRPr="00BA3011">
        <w:rPr>
          <w:rFonts w:ascii="Times New Roman" w:hAnsi="Times New Roman"/>
          <w:sz w:val="28"/>
          <w:szCs w:val="28"/>
          <w:lang w:val="en-US"/>
        </w:rPr>
        <w:t>;</w:t>
      </w:r>
    </w:p>
    <w:p w:rsidR="00EE4C23" w:rsidRPr="00BA3011" w:rsidRDefault="00EE4C23" w:rsidP="00BA3011">
      <w:pPr>
        <w:numPr>
          <w:ilvl w:val="0"/>
          <w:numId w:val="6"/>
        </w:numPr>
        <w:kinsoku/>
        <w:overflowPunct/>
        <w:autoSpaceDE/>
        <w:autoSpaceDN/>
        <w:adjustRightInd/>
        <w:snapToGrid/>
        <w:spacing w:after="0"/>
        <w:ind w:left="0"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породный отвал объёмом 169,0 тыс.м³, высотой 10,0 м;</w:t>
      </w:r>
    </w:p>
    <w:p w:rsidR="00EE4C23" w:rsidRPr="00BA3011" w:rsidRDefault="00EE4C23" w:rsidP="00BA3011">
      <w:pPr>
        <w:numPr>
          <w:ilvl w:val="0"/>
          <w:numId w:val="6"/>
        </w:numPr>
        <w:kinsoku/>
        <w:overflowPunct/>
        <w:autoSpaceDE/>
        <w:autoSpaceDN/>
        <w:adjustRightInd/>
        <w:snapToGrid/>
        <w:spacing w:after="0"/>
        <w:ind w:left="0" w:firstLine="709"/>
        <w:contextualSpacing/>
        <w:jc w:val="left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отвал плодородно-растительного слоя (ПРС) объёмом 14,0 тыс.м³.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lastRenderedPageBreak/>
        <w:t>Площадка станции обработки вагонов соляным раствором расположена на железнодорожном переезде в районе площадки ПС-35/6кВ по автодороге ВСО к площадке карьера Итауыз.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Площадка ПС35/6 кВ месторождения «Итауыз» предназначена для подачи электроснабжения, расположена по автомобильной дороге к площадке карьера Итауыз между породными отвалами №7 и №4. </w:t>
      </w:r>
    </w:p>
    <w:p w:rsidR="00EE4C23" w:rsidRPr="00BA3011" w:rsidRDefault="00EE4C23" w:rsidP="00BA3011">
      <w:pPr>
        <w:kinsoku/>
        <w:overflowPunct/>
        <w:autoSpaceDE/>
        <w:autoSpaceDN/>
        <w:adjustRightInd/>
        <w:snapToGrid/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Пруд-испаритель №1 расположен восточнее существующего карьера «Итауыз» на расстоянии около 8,0 км. 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Ближайшим населённым пунктом является п. Сатпаев (бывший Северный), </w:t>
      </w:r>
      <w:r w:rsidRPr="00BA3011">
        <w:rPr>
          <w:rFonts w:ascii="Times New Roman" w:hAnsi="Times New Roman"/>
          <w:sz w:val="28"/>
        </w:rPr>
        <w:t xml:space="preserve">расположенный на расстоянии около 9 км северо-восточнее от месторождения. </w:t>
      </w:r>
      <w:r w:rsidRPr="00BA3011">
        <w:rPr>
          <w:rFonts w:ascii="Times New Roman" w:hAnsi="Times New Roman"/>
          <w:sz w:val="28"/>
          <w:szCs w:val="28"/>
        </w:rPr>
        <w:t xml:space="preserve">Ближайшим городом является г. Сатпаев, с расстоянием до него около 24 км. 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Землепользование рудника «Итауыз» осуществляется на основании Актов на право временного возмездного землепользования: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Акт на право временного возмездного землепользования № 0617344 от 09.07.2018 года. Целевое назначение земельного участка: </w:t>
      </w:r>
      <w:r w:rsidRPr="00BA3011">
        <w:rPr>
          <w:rFonts w:ascii="Times New Roman" w:hAnsi="Times New Roman"/>
          <w:i/>
          <w:sz w:val="28"/>
          <w:szCs w:val="28"/>
        </w:rPr>
        <w:t>для обслуживания объектов карьера Итауз</w:t>
      </w:r>
      <w:r w:rsidRPr="00BA3011">
        <w:rPr>
          <w:rFonts w:ascii="Times New Roman" w:hAnsi="Times New Roman"/>
          <w:sz w:val="28"/>
          <w:szCs w:val="28"/>
        </w:rPr>
        <w:t>. Кадастровый номер земельного участка – 09-112-025-1035. Площадь землепользования составляет 291,3730га;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Акт на право временного возмездного землепользования № 0619699 от 04.05.2019 года. Целевое назначение земельного участка: </w:t>
      </w:r>
      <w:r w:rsidRPr="00BA3011">
        <w:rPr>
          <w:rFonts w:ascii="Times New Roman" w:hAnsi="Times New Roman"/>
          <w:i/>
          <w:sz w:val="28"/>
          <w:szCs w:val="28"/>
        </w:rPr>
        <w:t>для добычи медьсодержащих руд на месторождении Итауз</w:t>
      </w:r>
      <w:r w:rsidRPr="00BA3011">
        <w:rPr>
          <w:rFonts w:ascii="Times New Roman" w:hAnsi="Times New Roman"/>
          <w:sz w:val="28"/>
          <w:szCs w:val="28"/>
        </w:rPr>
        <w:t>. Кадастровый номер земельного участка – 09-112-025-1046. Площадь землепользования составляет 528,9053га;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Акт на право временного возмездного землепользования № 0617343 от 09.07.2018 года. Целевое назначение земельного участка: </w:t>
      </w:r>
      <w:r w:rsidRPr="00BA3011">
        <w:rPr>
          <w:rFonts w:ascii="Times New Roman" w:hAnsi="Times New Roman"/>
          <w:i/>
          <w:sz w:val="28"/>
          <w:szCs w:val="28"/>
        </w:rPr>
        <w:t>для обслуживания объектов карьера Итауз</w:t>
      </w:r>
      <w:r w:rsidRPr="00BA3011">
        <w:rPr>
          <w:rFonts w:ascii="Times New Roman" w:hAnsi="Times New Roman"/>
          <w:sz w:val="28"/>
          <w:szCs w:val="28"/>
        </w:rPr>
        <w:t>. Кадастровый номер земельного участка – 09-112-025-1056. Площадь землепользования составляет 126,0757га;</w:t>
      </w:r>
    </w:p>
    <w:p w:rsidR="00EE4C23" w:rsidRPr="00BA3011" w:rsidRDefault="00EE4C23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565D72" w:rsidRPr="00BA3011" w:rsidRDefault="00565D72" w:rsidP="00BA3011">
      <w:pPr>
        <w:spacing w:after="0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 w:rsidRPr="00BA3011">
        <w:rPr>
          <w:rFonts w:ascii="Times New Roman" w:hAnsi="Times New Roman"/>
          <w:b/>
          <w:i/>
          <w:sz w:val="28"/>
          <w:szCs w:val="28"/>
          <w:u w:val="single"/>
        </w:rPr>
        <w:t>Атмосферный воздух</w:t>
      </w:r>
    </w:p>
    <w:p w:rsidR="00BA3011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Фактически в настоящее время производится отработка запасов участка подземных горных работ (УПГР), которая в соответствии с календарным планом добычи руды намечена по 2030 год. С 2024-2025 годов предусматривались подготовительные работы для создания условий перехода на схему всех запасов месторождения, однако в связи с со сложными горно-геологическими условиями наблюдается отставания от графика производства работ по реализации проектных решений по технологическим процессам схемы отработки всех запасов месторождения. В настоящее время, по схеме отработки всех запасов месторождения работы не начаты. Соответственно в настоящей редакции проекта нормативов допустимых выбросов (НДВ) исключены объекты, разработанные отдельными проектами и фактически не реализованы. 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В соответствии с принятыми проектными решениями по схеме вскрытия и отработки запасов месторождения, от установленных источников загрязнения на период </w:t>
      </w:r>
      <w:r w:rsidR="007D08CB">
        <w:rPr>
          <w:rFonts w:ascii="Times New Roman" w:hAnsi="Times New Roman"/>
          <w:sz w:val="28"/>
          <w:szCs w:val="28"/>
        </w:rPr>
        <w:t>2027</w:t>
      </w:r>
      <w:r w:rsidRPr="00BA3011">
        <w:rPr>
          <w:rFonts w:ascii="Times New Roman" w:hAnsi="Times New Roman"/>
          <w:sz w:val="28"/>
          <w:szCs w:val="28"/>
        </w:rPr>
        <w:t xml:space="preserve"> год в атмосферный воздух выбрасываются загрязняющие вещества 46-ти наименований. Выбрасываемые вещества, в т.ч. обладающие эффектом суммарного вредного воздействия, образуют 7 групп суммаций.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lastRenderedPageBreak/>
        <w:t xml:space="preserve">На период установления НДВ на </w:t>
      </w:r>
      <w:r w:rsidR="007D08CB">
        <w:rPr>
          <w:rFonts w:ascii="Times New Roman" w:hAnsi="Times New Roman"/>
          <w:sz w:val="28"/>
          <w:szCs w:val="28"/>
        </w:rPr>
        <w:t>2027 г.</w:t>
      </w:r>
      <w:r w:rsidRPr="00BA3011">
        <w:rPr>
          <w:rFonts w:ascii="Times New Roman" w:hAnsi="Times New Roman"/>
          <w:sz w:val="28"/>
          <w:szCs w:val="28"/>
        </w:rPr>
        <w:t>, объем выбрасываемых загрязняющих веществ, составит:</w:t>
      </w:r>
    </w:p>
    <w:p w:rsidR="00C44E36" w:rsidRPr="00BA3011" w:rsidRDefault="00C44E36" w:rsidP="00BA3011">
      <w:pPr>
        <w:numPr>
          <w:ilvl w:val="0"/>
          <w:numId w:val="4"/>
        </w:numPr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с учетом выбросов от передвижных источников: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на 2027г. – 304.46644934 тонн; </w:t>
      </w:r>
    </w:p>
    <w:p w:rsidR="00C44E36" w:rsidRPr="00BA3011" w:rsidRDefault="00C44E36" w:rsidP="00BA3011">
      <w:pPr>
        <w:numPr>
          <w:ilvl w:val="0"/>
          <w:numId w:val="4"/>
        </w:numPr>
        <w:spacing w:after="0"/>
        <w:ind w:left="0"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без учета выбросов от передвижных источников: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на 2027г. – 298.71938934 тонн;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Для месторождения «Итауыз» Жиландинской группы месторождений в 2023 году разработан проект предварительной санитарно-защитной зоны (СЗЗ), на который выдано положительное санитарно-эпидемиологическое заключение №KZ48VBZ00049046 от 23.112023г. Так, в соответствии с проектом для месторождения Итауыз санитарно-защитная зона устанавливается размером 1000 м, которая относится к </w:t>
      </w:r>
      <w:r w:rsidRPr="00BA3011">
        <w:rPr>
          <w:rFonts w:ascii="Times New Roman" w:hAnsi="Times New Roman"/>
          <w:sz w:val="28"/>
          <w:szCs w:val="28"/>
          <w:lang w:val="en-US"/>
        </w:rPr>
        <w:t>I</w:t>
      </w:r>
      <w:r w:rsidRPr="00BA3011">
        <w:rPr>
          <w:rFonts w:ascii="Times New Roman" w:hAnsi="Times New Roman"/>
          <w:sz w:val="28"/>
          <w:szCs w:val="28"/>
        </w:rPr>
        <w:t xml:space="preserve"> классу опасности, для ремонтной мастерсткой </w:t>
      </w:r>
      <w:r w:rsidRPr="00BA3011">
        <w:rPr>
          <w:rFonts w:ascii="Times New Roman" w:hAnsi="Times New Roman"/>
          <w:sz w:val="28"/>
          <w:szCs w:val="28"/>
          <w:lang w:val="en-US"/>
        </w:rPr>
        <w:t>PIT</w:t>
      </w:r>
      <w:r w:rsidRPr="00BA3011">
        <w:rPr>
          <w:rFonts w:ascii="Times New Roman" w:hAnsi="Times New Roman"/>
          <w:sz w:val="28"/>
          <w:szCs w:val="28"/>
        </w:rPr>
        <w:t>-</w:t>
      </w:r>
      <w:r w:rsidRPr="00BA3011">
        <w:rPr>
          <w:rFonts w:ascii="Times New Roman" w:hAnsi="Times New Roman"/>
          <w:sz w:val="28"/>
          <w:szCs w:val="28"/>
          <w:lang w:val="en-US"/>
        </w:rPr>
        <w:t>STOP</w:t>
      </w:r>
      <w:r w:rsidRPr="00BA3011">
        <w:rPr>
          <w:rFonts w:ascii="Times New Roman" w:hAnsi="Times New Roman"/>
          <w:sz w:val="28"/>
          <w:szCs w:val="28"/>
        </w:rPr>
        <w:t xml:space="preserve"> (ремонтный бокс) санитарно-защитная зона устанавливается размером 100 м (</w:t>
      </w:r>
      <w:r w:rsidRPr="00BA3011">
        <w:rPr>
          <w:rFonts w:ascii="Times New Roman" w:hAnsi="Times New Roman"/>
          <w:sz w:val="28"/>
          <w:szCs w:val="28"/>
          <w:lang w:val="en-US"/>
        </w:rPr>
        <w:t>IV</w:t>
      </w:r>
      <w:r w:rsidRPr="00BA3011">
        <w:rPr>
          <w:rFonts w:ascii="Times New Roman" w:hAnsi="Times New Roman"/>
          <w:sz w:val="28"/>
          <w:szCs w:val="28"/>
        </w:rPr>
        <w:t xml:space="preserve"> класс), для пруда-испарителя №1 санитарно-защитная зона принималась аналогично размеру СЗЗ основного производства и составляет 1000 м (</w:t>
      </w:r>
      <w:r w:rsidRPr="00BA3011">
        <w:rPr>
          <w:rFonts w:ascii="Times New Roman" w:hAnsi="Times New Roman"/>
          <w:sz w:val="28"/>
          <w:szCs w:val="28"/>
          <w:lang w:val="en-US"/>
        </w:rPr>
        <w:t>I</w:t>
      </w:r>
      <w:r w:rsidRPr="00BA3011">
        <w:rPr>
          <w:rFonts w:ascii="Times New Roman" w:hAnsi="Times New Roman"/>
          <w:sz w:val="28"/>
          <w:szCs w:val="28"/>
        </w:rPr>
        <w:t xml:space="preserve"> класс). </w:t>
      </w:r>
    </w:p>
    <w:p w:rsidR="00C44E36" w:rsidRPr="007D08CB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Согласно «Решения по определению категории объекта, оказывающего негативное воздействие </w:t>
      </w:r>
      <w:r w:rsidRPr="007D08CB">
        <w:rPr>
          <w:rFonts w:ascii="Times New Roman" w:hAnsi="Times New Roman"/>
          <w:sz w:val="28"/>
          <w:szCs w:val="28"/>
        </w:rPr>
        <w:t xml:space="preserve">на окружающую среду», выданного РГУ «Департамент экологии по Карагандинской области» Комитета экологического регулирования и контроля Министерства экологии, геологии и природных ресурсов Республики Казахстан от 25 августа 2021 года, по объекту – «месторождение Итауыз филиала ТОО «Корпорация Казахмыс» - ПО «Жезказганцветмет» определена категория </w:t>
      </w:r>
      <w:r w:rsidRPr="007D08CB">
        <w:rPr>
          <w:rFonts w:ascii="Times New Roman" w:hAnsi="Times New Roman"/>
          <w:sz w:val="28"/>
          <w:szCs w:val="28"/>
          <w:lang w:val="en-US"/>
        </w:rPr>
        <w:t>I</w:t>
      </w:r>
      <w:r w:rsidRPr="007D08CB">
        <w:rPr>
          <w:rFonts w:ascii="Times New Roman" w:hAnsi="Times New Roman"/>
          <w:sz w:val="28"/>
          <w:szCs w:val="28"/>
        </w:rPr>
        <w:t xml:space="preserve">. </w:t>
      </w:r>
    </w:p>
    <w:p w:rsidR="00C44E36" w:rsidRPr="00BA3011" w:rsidRDefault="00C44E36" w:rsidP="00BA3011">
      <w:pPr>
        <w:pStyle w:val="MARKER1"/>
        <w:numPr>
          <w:ilvl w:val="0"/>
          <w:numId w:val="0"/>
        </w:numPr>
        <w:spacing w:after="0"/>
        <w:ind w:firstLine="709"/>
        <w:rPr>
          <w:rFonts w:ascii="Times New Roman" w:hAnsi="Times New Roman"/>
          <w:sz w:val="28"/>
          <w:szCs w:val="28"/>
        </w:rPr>
      </w:pPr>
      <w:r w:rsidRPr="007D08CB">
        <w:rPr>
          <w:rFonts w:ascii="Times New Roman" w:hAnsi="Times New Roman"/>
          <w:sz w:val="28"/>
          <w:szCs w:val="28"/>
        </w:rPr>
        <w:t>Расчет уровня загрязнения атмосферы его графическая интерпретация,</w:t>
      </w:r>
      <w:r w:rsidRPr="00BA3011">
        <w:rPr>
          <w:rFonts w:ascii="Times New Roman" w:hAnsi="Times New Roman"/>
          <w:sz w:val="28"/>
          <w:szCs w:val="28"/>
        </w:rPr>
        <w:t xml:space="preserve"> содержание и формирование таблиц проекта нормативов предельно допустимых выбросов предприятия выполнены с использованием программы «Эра», версия 3.0. Расчет величин концентраций загрязняющих веществ в приземных слоях атмосферы проводился на расчетном прямоугольнике и границе ранее установленной санитарно-защитной зоны (СЗЗ).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Предлагаемые сроки достижения нормативов допустимых выбросов   по ингредиентам определялись уровнем загрязнения воздуха и вкладом каждого источника выброса. Нормативы выбросов разработаны для каждого вредного вещества и групп суммаций, загрязняющих окружающую среду.</w:t>
      </w:r>
    </w:p>
    <w:p w:rsidR="00C44E36" w:rsidRPr="00BA3011" w:rsidRDefault="00C44E36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По ингредиентам, приземная концентрация которых не превышает значения ПДК с учетом эффекта суммации, а также для ингредиентов, расчет приземных концентраций по которым не целесообразен, предлагается установить нормативы на уровне существующих выбросов.</w:t>
      </w:r>
    </w:p>
    <w:p w:rsidR="00070B7B" w:rsidRPr="00BA3011" w:rsidRDefault="00070B7B" w:rsidP="00BA3011">
      <w:pPr>
        <w:spacing w:after="0"/>
        <w:ind w:firstLine="709"/>
        <w:rPr>
          <w:rFonts w:ascii="Times New Roman" w:hAnsi="Times New Roman"/>
          <w:b/>
          <w:i/>
          <w:sz w:val="28"/>
          <w:szCs w:val="28"/>
        </w:rPr>
      </w:pPr>
    </w:p>
    <w:p w:rsidR="004D44D0" w:rsidRPr="00BA3011" w:rsidRDefault="004D44D0" w:rsidP="00BA3011">
      <w:pPr>
        <w:spacing w:after="0"/>
        <w:ind w:firstLine="709"/>
        <w:rPr>
          <w:rFonts w:ascii="Times New Roman" w:hAnsi="Times New Roman"/>
          <w:b/>
          <w:i/>
          <w:sz w:val="28"/>
          <w:szCs w:val="28"/>
          <w:u w:val="single"/>
        </w:rPr>
      </w:pPr>
      <w:r w:rsidRPr="00BA3011">
        <w:rPr>
          <w:rFonts w:ascii="Times New Roman" w:hAnsi="Times New Roman"/>
          <w:b/>
          <w:i/>
          <w:sz w:val="28"/>
          <w:szCs w:val="28"/>
          <w:u w:val="single"/>
        </w:rPr>
        <w:t xml:space="preserve">Отходы 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В период эксплуатации прогнозируется образование 30-ти видов отходов: аккумуляторы отработанные автомобильные, отработанное моторное масло, о</w:t>
      </w:r>
      <w:r w:rsidRPr="00BA3011">
        <w:rPr>
          <w:rFonts w:ascii="Times New Roman" w:hAnsi="Times New Roman"/>
          <w:bCs/>
          <w:iCs/>
          <w:sz w:val="28"/>
          <w:szCs w:val="28"/>
        </w:rPr>
        <w:t>тработанное трансмиссионное масло, отработанное гидравлическое масло, о</w:t>
      </w:r>
      <w:r w:rsidRPr="00BA3011">
        <w:rPr>
          <w:rFonts w:ascii="Times New Roman" w:hAnsi="Times New Roman"/>
          <w:sz w:val="28"/>
          <w:szCs w:val="28"/>
        </w:rPr>
        <w:t>тработанные теплоносители (антифриз и др.), ветошь промасленная, фильтры масляные отработанные, фильтры топливные отработанные</w:t>
      </w:r>
      <w:r w:rsidRPr="00BA3011">
        <w:rPr>
          <w:rFonts w:ascii="Times New Roman" w:hAnsi="Times New Roman"/>
          <w:bCs/>
          <w:iCs/>
          <w:sz w:val="28"/>
          <w:szCs w:val="28"/>
        </w:rPr>
        <w:t>, тара из-под лакокрасочных материалов, светильники шахтные головные отработанные, мешкотара полипропиленовая, с</w:t>
      </w:r>
      <w:r w:rsidRPr="00BA3011">
        <w:rPr>
          <w:rFonts w:ascii="Times New Roman" w:hAnsi="Times New Roman"/>
          <w:sz w:val="28"/>
          <w:szCs w:val="28"/>
        </w:rPr>
        <w:t>амоспасатели шахтные отработанные, тара металлическая из-под ГСМ, нефтешлам при зачистке резервуаров,</w:t>
      </w:r>
      <w:r w:rsidRPr="00BA3011">
        <w:rPr>
          <w:rFonts w:ascii="Times New Roman" w:hAnsi="Times New Roman"/>
        </w:rPr>
        <w:t xml:space="preserve"> </w:t>
      </w:r>
      <w:r w:rsidRPr="00BA3011">
        <w:rPr>
          <w:rFonts w:ascii="Times New Roman" w:hAnsi="Times New Roman"/>
          <w:sz w:val="28"/>
          <w:szCs w:val="28"/>
        </w:rPr>
        <w:t>лампы, не содержащие</w:t>
      </w:r>
      <w:r w:rsidRPr="00BA3011">
        <w:rPr>
          <w:rFonts w:ascii="Times New Roman" w:hAnsi="Times New Roman"/>
        </w:rPr>
        <w:t xml:space="preserve"> ртуть,</w:t>
      </w:r>
      <w:r w:rsidRPr="00BA3011">
        <w:rPr>
          <w:rFonts w:ascii="Times New Roman" w:hAnsi="Times New Roman"/>
          <w:sz w:val="28"/>
          <w:szCs w:val="28"/>
        </w:rPr>
        <w:t xml:space="preserve"> шины автомобильные отработанные, фильтры воздушные </w:t>
      </w:r>
      <w:r w:rsidRPr="00BA3011">
        <w:rPr>
          <w:rFonts w:ascii="Times New Roman" w:hAnsi="Times New Roman"/>
          <w:sz w:val="28"/>
          <w:szCs w:val="28"/>
        </w:rPr>
        <w:lastRenderedPageBreak/>
        <w:t>отработанные, огарки сварочных электродов, лом черных металлов, лом цветных металлов, обрезки кабеля, лом абразивных изделий, мешкотара бумажная, древесные отходы,</w:t>
      </w:r>
      <w:r w:rsidRPr="00BA3011">
        <w:rPr>
          <w:rFonts w:ascii="Times New Roman" w:hAnsi="Times New Roman"/>
        </w:rPr>
        <w:t xml:space="preserve"> </w:t>
      </w:r>
      <w:r w:rsidRPr="00BA3011">
        <w:rPr>
          <w:rFonts w:ascii="Times New Roman" w:hAnsi="Times New Roman"/>
          <w:sz w:val="28"/>
          <w:szCs w:val="28"/>
        </w:rPr>
        <w:t xml:space="preserve">использованная спецодежда и обувь, </w:t>
      </w:r>
      <w:r w:rsidRPr="00BA3011">
        <w:rPr>
          <w:rFonts w:ascii="Times New Roman" w:hAnsi="Times New Roman"/>
          <w:sz w:val="28"/>
          <w:szCs w:val="28"/>
          <w:lang w:bidi="ru-RU"/>
        </w:rPr>
        <w:t>отходы средств индивидуальной защиты (СИЗ)</w:t>
      </w:r>
      <w:r w:rsidRPr="00BA3011">
        <w:rPr>
          <w:rFonts w:ascii="Times New Roman" w:hAnsi="Times New Roman"/>
          <w:sz w:val="28"/>
          <w:szCs w:val="28"/>
        </w:rPr>
        <w:t>, строительные отходы,</w:t>
      </w:r>
      <w:r w:rsidRPr="00BA3011">
        <w:rPr>
          <w:rFonts w:ascii="Times New Roman" w:hAnsi="Times New Roman"/>
        </w:rPr>
        <w:t xml:space="preserve"> </w:t>
      </w:r>
      <w:r w:rsidRPr="00BA3011">
        <w:rPr>
          <w:rFonts w:ascii="Times New Roman" w:hAnsi="Times New Roman"/>
          <w:sz w:val="28"/>
          <w:szCs w:val="28"/>
        </w:rPr>
        <w:t>твердые бытовые отходы (ТБО), вмещающая порода.</w:t>
      </w:r>
    </w:p>
    <w:p w:rsidR="00BA3011" w:rsidRPr="00BA3011" w:rsidRDefault="00BA3011" w:rsidP="00BA3011">
      <w:pPr>
        <w:tabs>
          <w:tab w:val="left" w:pos="1134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опасные отходы – 16 видов (</w:t>
      </w:r>
      <w:r w:rsidRPr="00BA3011">
        <w:rPr>
          <w:rFonts w:ascii="Times New Roman" w:eastAsia="Calibri" w:hAnsi="Times New Roman"/>
          <w:sz w:val="28"/>
          <w:szCs w:val="28"/>
        </w:rPr>
        <w:t>аккумуляторы отработанные автомобильные, отработанное моторное масло, отработанное трансмиссионное масло, отработанное гидравлическое масло, отработанные теплоносители (антифриз и др.), ветошь промасленная,</w:t>
      </w:r>
      <w:r w:rsidRPr="00BA3011">
        <w:rPr>
          <w:rFonts w:ascii="Times New Roman" w:hAnsi="Times New Roman"/>
          <w:sz w:val="28"/>
          <w:szCs w:val="28"/>
        </w:rPr>
        <w:t xml:space="preserve"> </w:t>
      </w:r>
      <w:r w:rsidRPr="00BA3011">
        <w:rPr>
          <w:rFonts w:ascii="Times New Roman" w:eastAsia="Calibri" w:hAnsi="Times New Roman"/>
          <w:sz w:val="28"/>
          <w:szCs w:val="28"/>
        </w:rPr>
        <w:t>фильтры масляные отработанные,</w:t>
      </w:r>
      <w:r w:rsidRPr="00BA3011">
        <w:rPr>
          <w:rFonts w:ascii="Times New Roman" w:hAnsi="Times New Roman"/>
          <w:sz w:val="28"/>
          <w:szCs w:val="28"/>
        </w:rPr>
        <w:t xml:space="preserve"> </w:t>
      </w:r>
      <w:r w:rsidRPr="00BA3011">
        <w:rPr>
          <w:rFonts w:ascii="Times New Roman" w:eastAsia="Calibri" w:hAnsi="Times New Roman"/>
          <w:sz w:val="28"/>
          <w:szCs w:val="28"/>
        </w:rPr>
        <w:t xml:space="preserve">фильтры топливные отработанные, тара из-под лакокрасочных материалов, светильники шахтные головные отработанные, мешкотара полипропиленовая, </w:t>
      </w:r>
      <w:r w:rsidRPr="00BA3011">
        <w:rPr>
          <w:rFonts w:ascii="Times New Roman" w:hAnsi="Times New Roman"/>
          <w:sz w:val="28"/>
          <w:szCs w:val="28"/>
        </w:rPr>
        <w:t xml:space="preserve"> </w:t>
      </w:r>
      <w:r w:rsidRPr="00BA3011">
        <w:rPr>
          <w:rFonts w:ascii="Times New Roman" w:eastAsia="Calibri" w:hAnsi="Times New Roman"/>
          <w:sz w:val="28"/>
          <w:szCs w:val="28"/>
        </w:rPr>
        <w:t>самоспасатели шахтные отработанные, тара металлическая из-под ГСМ,</w:t>
      </w:r>
      <w:r w:rsidRPr="00BA3011">
        <w:rPr>
          <w:rFonts w:ascii="Times New Roman" w:hAnsi="Times New Roman"/>
        </w:rPr>
        <w:t xml:space="preserve"> </w:t>
      </w:r>
      <w:r w:rsidRPr="00BA3011">
        <w:rPr>
          <w:rFonts w:ascii="Times New Roman" w:hAnsi="Times New Roman"/>
          <w:sz w:val="28"/>
          <w:szCs w:val="28"/>
        </w:rPr>
        <w:t>т</w:t>
      </w:r>
      <w:r w:rsidRPr="00BA3011">
        <w:rPr>
          <w:rFonts w:ascii="Times New Roman" w:eastAsia="Calibri" w:hAnsi="Times New Roman"/>
          <w:sz w:val="28"/>
          <w:szCs w:val="28"/>
        </w:rPr>
        <w:t>ара из-под лакокрасочных материалов (ЛКМ), нефтешлам при зачистке резервуаров, отработанные фильтрующие элементы)</w:t>
      </w:r>
      <w:r w:rsidRPr="00BA3011">
        <w:rPr>
          <w:rFonts w:ascii="Times New Roman" w:hAnsi="Times New Roman"/>
          <w:sz w:val="28"/>
          <w:szCs w:val="28"/>
        </w:rPr>
        <w:t>;</w:t>
      </w:r>
    </w:p>
    <w:p w:rsidR="00BA3011" w:rsidRPr="00BA3011" w:rsidRDefault="00BA3011" w:rsidP="00BA3011">
      <w:pPr>
        <w:tabs>
          <w:tab w:val="left" w:pos="1134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- неопасные отходы – 14 видов (шины автомобильные отработанные, фильтры воздушные отработанные, огарки сварочных электродов, лом черных металлов, лом цветных металлов, обрезки кабеля, лом абразивных изделий, отработанные тормозные колодки, строительные отходы, мешкотара бумажная, </w:t>
      </w:r>
    </w:p>
    <w:p w:rsidR="00BA3011" w:rsidRPr="00BA3011" w:rsidRDefault="00BA3011" w:rsidP="00BA3011">
      <w:pPr>
        <w:tabs>
          <w:tab w:val="left" w:pos="1134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отходы древесины, отработанные лампы, не содержащие ртуть, использованная спецодежда и обувь, отходы средств индивидуальной защиты (СИЗ), твердые бытовые отходы, в</w:t>
      </w:r>
      <w:r w:rsidRPr="00BA3011">
        <w:rPr>
          <w:rFonts w:ascii="Times New Roman" w:hAnsi="Times New Roman"/>
          <w:bCs/>
          <w:iCs/>
          <w:sz w:val="28"/>
          <w:szCs w:val="28"/>
        </w:rPr>
        <w:t>мещающая порода</w:t>
      </w:r>
      <w:r w:rsidRPr="00BA3011">
        <w:rPr>
          <w:rFonts w:ascii="Times New Roman" w:hAnsi="Times New Roman"/>
          <w:bCs/>
          <w:sz w:val="28"/>
          <w:szCs w:val="28"/>
        </w:rPr>
        <w:t>)</w:t>
      </w:r>
      <w:r w:rsidRPr="00BA3011">
        <w:rPr>
          <w:rFonts w:ascii="Times New Roman" w:eastAsia="Calibri" w:hAnsi="Times New Roman"/>
          <w:sz w:val="28"/>
          <w:szCs w:val="28"/>
        </w:rPr>
        <w:t xml:space="preserve">. 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- зеркальные отходы – отсутствуют.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Общий объем образования отходов на </w:t>
      </w:r>
      <w:r w:rsidR="007D08CB">
        <w:rPr>
          <w:rFonts w:ascii="Times New Roman" w:hAnsi="Times New Roman"/>
          <w:sz w:val="28"/>
          <w:szCs w:val="28"/>
        </w:rPr>
        <w:t>2027 г - 397011,6747 т/год</w:t>
      </w:r>
      <w:r w:rsidRPr="00BA3011">
        <w:rPr>
          <w:rFonts w:ascii="Times New Roman" w:hAnsi="Times New Roman"/>
          <w:sz w:val="28"/>
          <w:szCs w:val="28"/>
        </w:rPr>
        <w:t>.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>Лимит накопления отходов на 2</w:t>
      </w:r>
      <w:r w:rsidR="007D08CB">
        <w:rPr>
          <w:rFonts w:ascii="Times New Roman" w:hAnsi="Times New Roman"/>
          <w:sz w:val="28"/>
          <w:szCs w:val="28"/>
        </w:rPr>
        <w:t>027 г. - 202,6209018 т/год</w:t>
      </w:r>
      <w:r w:rsidRPr="00BA3011">
        <w:rPr>
          <w:rFonts w:ascii="Times New Roman" w:hAnsi="Times New Roman"/>
          <w:sz w:val="28"/>
          <w:szCs w:val="28"/>
        </w:rPr>
        <w:t>.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Общий объем образования вмещающих пород </w:t>
      </w:r>
      <w:r w:rsidR="007D08CB">
        <w:rPr>
          <w:rFonts w:ascii="Times New Roman" w:hAnsi="Times New Roman"/>
          <w:sz w:val="28"/>
          <w:szCs w:val="28"/>
        </w:rPr>
        <w:t>2027 г. – 396808 т/год</w:t>
      </w:r>
      <w:r w:rsidRPr="00BA3011">
        <w:rPr>
          <w:rFonts w:ascii="Times New Roman" w:hAnsi="Times New Roman"/>
          <w:sz w:val="28"/>
          <w:szCs w:val="28"/>
        </w:rPr>
        <w:t>.</w:t>
      </w:r>
    </w:p>
    <w:p w:rsidR="00BA3011" w:rsidRPr="00317CF3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Часть вмещающих </w:t>
      </w:r>
      <w:r w:rsidRPr="00317CF3">
        <w:rPr>
          <w:rFonts w:ascii="Times New Roman" w:hAnsi="Times New Roman"/>
          <w:sz w:val="28"/>
          <w:szCs w:val="28"/>
        </w:rPr>
        <w:t>пород используется для подсыпки автодорог 202</w:t>
      </w:r>
      <w:r w:rsidR="007D08CB" w:rsidRPr="00317CF3">
        <w:rPr>
          <w:rFonts w:ascii="Times New Roman" w:hAnsi="Times New Roman"/>
          <w:sz w:val="28"/>
          <w:szCs w:val="28"/>
        </w:rPr>
        <w:t xml:space="preserve">7 </w:t>
      </w:r>
      <w:r w:rsidRPr="00317CF3">
        <w:rPr>
          <w:rFonts w:ascii="Times New Roman" w:hAnsi="Times New Roman"/>
          <w:sz w:val="28"/>
          <w:szCs w:val="28"/>
        </w:rPr>
        <w:t xml:space="preserve">г. - 9331,2 т/год. Часть вмещающих пород используется для засыпки отработанного карьерного пространства: </w:t>
      </w:r>
      <w:r w:rsidR="007D08CB" w:rsidRPr="00317CF3">
        <w:rPr>
          <w:rFonts w:ascii="Times New Roman" w:hAnsi="Times New Roman"/>
          <w:sz w:val="28"/>
          <w:szCs w:val="28"/>
        </w:rPr>
        <w:t xml:space="preserve">2027 г. – </w:t>
      </w:r>
      <w:r w:rsidR="00317CF3" w:rsidRPr="00317CF3">
        <w:rPr>
          <w:rFonts w:ascii="Times New Roman" w:eastAsia="Calibri" w:hAnsi="Times New Roman"/>
          <w:sz w:val="28"/>
          <w:szCs w:val="28"/>
        </w:rPr>
        <w:t xml:space="preserve">387476,8 </w:t>
      </w:r>
      <w:r w:rsidR="007D08CB" w:rsidRPr="00317CF3">
        <w:rPr>
          <w:rFonts w:ascii="Times New Roman" w:hAnsi="Times New Roman"/>
          <w:sz w:val="28"/>
          <w:szCs w:val="28"/>
        </w:rPr>
        <w:t>т/год</w:t>
      </w:r>
      <w:r w:rsidRPr="00317CF3">
        <w:rPr>
          <w:rFonts w:ascii="Times New Roman" w:hAnsi="Times New Roman"/>
          <w:sz w:val="28"/>
          <w:szCs w:val="28"/>
        </w:rPr>
        <w:t>.</w:t>
      </w:r>
    </w:p>
    <w:p w:rsidR="00BA3011" w:rsidRPr="00BA3011" w:rsidRDefault="00BA3011" w:rsidP="00BA3011">
      <w:pPr>
        <w:spacing w:after="0"/>
        <w:ind w:firstLine="709"/>
        <w:rPr>
          <w:rFonts w:ascii="Times New Roman" w:eastAsia="Calibri" w:hAnsi="Times New Roman"/>
          <w:sz w:val="28"/>
          <w:szCs w:val="28"/>
        </w:rPr>
      </w:pPr>
      <w:r w:rsidRPr="00BA3011">
        <w:rPr>
          <w:rFonts w:ascii="Times New Roman" w:eastAsia="Calibri" w:hAnsi="Times New Roman"/>
          <w:sz w:val="28"/>
          <w:szCs w:val="28"/>
        </w:rPr>
        <w:t xml:space="preserve">В соответствии со ст. 336 Кодекса специализированным организациям, занимающимся выполнением работ (оказанием услуг) по переработке, обезвреживанию, удаления и (или) уничтожению опасных отходов необходимо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РК «О разрешениях и уведомлениях». 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BA3011">
        <w:rPr>
          <w:rFonts w:ascii="Times New Roman" w:hAnsi="Times New Roman"/>
          <w:sz w:val="28"/>
          <w:szCs w:val="28"/>
        </w:rPr>
        <w:t xml:space="preserve">Исходя из соблюдения природоохранных мероприятий при обращении с отходами, должной системы управления отходами, передачей на восстановление и (или) удаление, определено, что уровень воздействия отходов производства и потребления на компоненты окружающей среды можно охарактеризовать как воздействие </w:t>
      </w:r>
      <w:r w:rsidRPr="00BA3011">
        <w:rPr>
          <w:rFonts w:ascii="Times New Roman" w:hAnsi="Times New Roman"/>
          <w:b/>
          <w:sz w:val="28"/>
          <w:szCs w:val="28"/>
        </w:rPr>
        <w:t>допустимое.</w:t>
      </w: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</w:p>
    <w:p w:rsidR="00BA3011" w:rsidRPr="00BA3011" w:rsidRDefault="00BA3011" w:rsidP="00BA3011">
      <w:pPr>
        <w:spacing w:after="0"/>
        <w:ind w:firstLine="709"/>
        <w:rPr>
          <w:rFonts w:ascii="Times New Roman" w:hAnsi="Times New Roman"/>
          <w:sz w:val="28"/>
          <w:szCs w:val="28"/>
        </w:rPr>
        <w:sectPr w:rsidR="00BA3011" w:rsidRPr="00BA3011" w:rsidSect="004454F9">
          <w:footerReference w:type="even" r:id="rId7"/>
          <w:pgSz w:w="11906" w:h="16838"/>
          <w:pgMar w:top="993" w:right="851" w:bottom="851" w:left="1418" w:header="425" w:footer="283" w:gutter="0"/>
          <w:cols w:space="708"/>
          <w:docGrid w:linePitch="360"/>
        </w:sectPr>
      </w:pPr>
    </w:p>
    <w:p w:rsidR="004D44D0" w:rsidRPr="00317CF3" w:rsidRDefault="00294D4E" w:rsidP="00317CF3">
      <w:pPr>
        <w:tabs>
          <w:tab w:val="left" w:pos="1134"/>
        </w:tabs>
        <w:spacing w:after="0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BA3011">
        <w:rPr>
          <w:rFonts w:ascii="Times New Roman" w:hAnsi="Times New Roman"/>
          <w:b/>
          <w:sz w:val="28"/>
          <w:szCs w:val="28"/>
          <w:u w:val="single"/>
        </w:rPr>
        <w:lastRenderedPageBreak/>
        <w:t>Сб</w:t>
      </w:r>
      <w:r w:rsidRPr="00317CF3">
        <w:rPr>
          <w:rFonts w:ascii="Times New Roman" w:hAnsi="Times New Roman"/>
          <w:b/>
          <w:sz w:val="28"/>
          <w:szCs w:val="28"/>
          <w:u w:val="single"/>
        </w:rPr>
        <w:t xml:space="preserve">росы </w:t>
      </w:r>
    </w:p>
    <w:p w:rsidR="00BA3011" w:rsidRPr="00317CF3" w:rsidRDefault="00BA3011" w:rsidP="00317CF3">
      <w:pPr>
        <w:spacing w:after="0"/>
        <w:ind w:firstLine="709"/>
        <w:rPr>
          <w:rFonts w:ascii="Times New Roman" w:hAnsi="Times New Roman"/>
          <w:sz w:val="28"/>
          <w:szCs w:val="28"/>
          <w:lang w:val="kk-KZ"/>
        </w:rPr>
      </w:pPr>
      <w:r w:rsidRPr="00317CF3">
        <w:rPr>
          <w:rFonts w:ascii="Times New Roman" w:hAnsi="Times New Roman"/>
          <w:sz w:val="28"/>
          <w:szCs w:val="28"/>
        </w:rPr>
        <w:t>Настоящий проект</w:t>
      </w:r>
      <w:r w:rsidRPr="00317CF3">
        <w:rPr>
          <w:rFonts w:ascii="Times New Roman" w:hAnsi="Times New Roman"/>
          <w:sz w:val="28"/>
          <w:szCs w:val="28"/>
          <w:lang w:val="kk-KZ"/>
        </w:rPr>
        <w:t xml:space="preserve"> нормативов допустимых сбросов загрязняющих веществ, поступающих с шахтными водами (шх. «Итауыз») Жиландинской группы месторождений филиала ТОО «Корпорация Казахмыс» – «Q.I. Satbaev atyndagy Jezqazgan Tau-Ken ondirisi» </w:t>
      </w:r>
      <w:r w:rsidR="00317CF3" w:rsidRPr="00317CF3">
        <w:rPr>
          <w:rFonts w:ascii="Times New Roman" w:hAnsi="Times New Roman"/>
          <w:sz w:val="28"/>
          <w:szCs w:val="28"/>
          <w:lang w:val="kk-KZ"/>
        </w:rPr>
        <w:t>в отработанное пространство карьера разработан на 2027 год</w:t>
      </w:r>
      <w:r w:rsidRPr="00317CF3">
        <w:rPr>
          <w:rFonts w:ascii="Times New Roman" w:hAnsi="Times New Roman"/>
          <w:sz w:val="28"/>
          <w:szCs w:val="28"/>
          <w:lang w:val="kk-KZ"/>
        </w:rPr>
        <w:t>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 xml:space="preserve">В соответствии с пп. 2) п. 5 статьи 216 ЭК РК, сброс сточных вод в недра запрещается, </w:t>
      </w:r>
      <w:r w:rsidRPr="00317CF3">
        <w:rPr>
          <w:rFonts w:ascii="Times New Roman" w:hAnsi="Times New Roman"/>
          <w:b/>
          <w:sz w:val="28"/>
          <w:szCs w:val="28"/>
        </w:rPr>
        <w:t>за исключением отведения карьерных вод в выработанные пространства карьеров и (или) шахт</w:t>
      </w:r>
      <w:r w:rsidRPr="00317CF3">
        <w:rPr>
          <w:rFonts w:ascii="Times New Roman" w:hAnsi="Times New Roman"/>
          <w:sz w:val="28"/>
          <w:szCs w:val="28"/>
        </w:rPr>
        <w:t>. При этом, очистку сточных вод в указанном случае необходимо осуществлять в соответствии с утвержденными проектными решениями по нефтепродуктам.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С учетом данных требований и производственной необходимостью, в настоящем проекте нормативов допустимых сбросов (НДС) на 2027 год устанавливаются нормативы для отведения шахтных вод месторождения Итауыз в отработанное пространство карьера «Южный Итауыз».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Потенциальным источником поступления нефтепродуктов в дренажную систему шахты «Итауыз» является технологический пост мойки автотранспорта, расположенный в здании «Pit-Stop». В целях исключения рисков загрязнения шахтных вод нефтепродуктами, на данном объекте организована замкнутая система оборотного водоснабжения. Производственные сточные воды от поста мойки не сбрасываются в общую систему шахтного водоотлива, а направляются на очистку в очистное сооружение. После прохождения всех ступеней фильтрации очищенная вода аккумулируется в резервуаре и повторно используется в технологическом цикле мойки автомобилей.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 xml:space="preserve">Эффективность локальной очистной установки по очистке сточных вод составляет по взвешенным веществам – до 99,85%, нефтепродуктам – до 99,6%. 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В настоящий момент по месторождению Итауыз имеется экологическое разрешение №KZ43VCZ03459510 от 11.04.2024 г. (приложении 6) с нормативами допустимых сбросов загрязняющих веществ, поступающих с шахтными водами в пруд-испаритель №1 в объеме: на 2024 г. – 7803,59538 т/год, 2025 г. – 11079,15561 т/год, на 2026 г. – 11430,74196 т/год.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Настоящим проектом, в 2027 году отвод шахтной воды месторождения Итауыз предусматривается одним водовыпуском в отработанное пространство карьера «Южный Итауыз</w:t>
      </w:r>
      <w:bookmarkStart w:id="0" w:name="_GoBack"/>
      <w:bookmarkEnd w:id="0"/>
      <w:r w:rsidRPr="00317CF3">
        <w:rPr>
          <w:rFonts w:ascii="Times New Roman" w:hAnsi="Times New Roman"/>
          <w:sz w:val="28"/>
          <w:szCs w:val="28"/>
        </w:rPr>
        <w:t>».</w:t>
      </w:r>
    </w:p>
    <w:p w:rsidR="00317CF3" w:rsidRPr="00317CF3" w:rsidRDefault="00317CF3" w:rsidP="00317CF3">
      <w:pPr>
        <w:spacing w:after="0"/>
        <w:ind w:firstLine="737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Карьер «Южный Итауыз» представляет собой резервуар изолированного типа, поступающая шахтная вода никуда далее не сбрасывается и не передается, а аккумулируется строго в границах чаши карьера и подвергается испарению под действием природных факторов.</w:t>
      </w:r>
    </w:p>
    <w:p w:rsidR="00317CF3" w:rsidRPr="00317CF3" w:rsidRDefault="00317CF3" w:rsidP="00317CF3">
      <w:pPr>
        <w:spacing w:after="0"/>
        <w:ind w:firstLine="737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 xml:space="preserve">Благодаря замкнутому типу приемника шахтных вод и надежному естественному водоупору, сброс шахтных вод не окажет негативного влияния на окружающую среду. Весь объем поступающих шахтных вод, чей хлоридно-сульфидно-натриевый и хлоридно-натриево-магниевый состав формирует </w:t>
      </w:r>
      <w:r w:rsidRPr="00317CF3">
        <w:rPr>
          <w:rFonts w:ascii="Times New Roman" w:hAnsi="Times New Roman"/>
          <w:sz w:val="28"/>
          <w:szCs w:val="28"/>
        </w:rPr>
        <w:lastRenderedPageBreak/>
        <w:t>локальный гидрогеохимический фон, будет надежно изолирован и аккумулирован внутри карьерного пространства.</w:t>
      </w:r>
    </w:p>
    <w:p w:rsidR="00317CF3" w:rsidRPr="00317CF3" w:rsidRDefault="00317CF3" w:rsidP="00317CF3">
      <w:pPr>
        <w:spacing w:after="0"/>
        <w:ind w:firstLine="737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Гидрографическая сеть местоположения месторождения Итауыз слаборазвита, восточнее месторождения, на расстоянии 1,2 км от него располагается верховье речки Жиделисай, а на расстоянии около 9,7 км на северо-восток располагается река Жиланды. В летнее время русло рек почти полностью пересыхает, с водотоком река только в период осенне-весенних паводков.</w:t>
      </w:r>
    </w:p>
    <w:p w:rsidR="00317CF3" w:rsidRPr="00317CF3" w:rsidRDefault="00317CF3" w:rsidP="00317CF3">
      <w:pPr>
        <w:shd w:val="clear" w:color="auto" w:fill="FFFFFF"/>
        <w:spacing w:after="0"/>
        <w:ind w:firstLine="737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В соответствии с постановлением акимата области Ұлытау от 20.05.2025 г. № 43/01 «Об установлении водоохранных зон, полос водных объектов области Ұлытау и режима их хозяйственного использования», размер водоохранной зоны для реки Жиланды составляет 500 м, водоохранной полосы – 50-100 м. Для реки Жиделисай в соответствии с постановлением акимата области Ұлытау от 10.04.2025 г. № 35/01 «Об установлении водоохранных зон, полос и режима хозяйственного использования участков рек Жиделисай, Кокдомбак области Ұлытау», размер водоохранной зоны составляет 500 м, водоохранной полосы – 35 м. Таким образом, территория месторождения не входит в водоохранные зоны и полосы водных объектов.</w:t>
      </w:r>
    </w:p>
    <w:p w:rsidR="00317CF3" w:rsidRPr="00317CF3" w:rsidRDefault="00317CF3" w:rsidP="00317CF3">
      <w:pPr>
        <w:shd w:val="clear" w:color="auto" w:fill="FFFFFF"/>
        <w:spacing w:after="0"/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В районе расположения месторождения особо охраняемые природные объекты отсутствуют.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При нормировании сброса шахтной воды месторождения Итауыз в отработанное пространство карьера на 2027 год принят расчетный ДС по результатам анализов шахтной воды за 2023-2025 гг, выполненных аккредитованными лабораториями и прогнозного водопритока.</w:t>
      </w:r>
    </w:p>
    <w:p w:rsidR="00317CF3" w:rsidRPr="00317CF3" w:rsidRDefault="00317CF3" w:rsidP="00317CF3">
      <w:pPr>
        <w:pStyle w:val="a7"/>
        <w:spacing w:after="0"/>
        <w:ind w:left="0" w:firstLine="708"/>
        <w:jc w:val="both"/>
        <w:rPr>
          <w:sz w:val="28"/>
          <w:szCs w:val="28"/>
        </w:rPr>
      </w:pPr>
      <w:r w:rsidRPr="00317CF3">
        <w:rPr>
          <w:sz w:val="28"/>
          <w:szCs w:val="28"/>
        </w:rPr>
        <w:t>Нормативы сбросов загрязняющих веществ, поступающих с шахтной водой месторождения Итауыз по водовыпуску в отработанное пространство карьера на 2027 год, составят 757479,43 г/час, 5529,5854 т/год.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Перечень нормируемых веществ, отводимых с шахтной водой по водовыпуску в отработанное пространство карьера соответствует «Перечню загрязняющих веществ, эмиссии которых подлежат экологическому нормированию», утвержденных приказом Министра экологии, геологии и природных ресурсов РК от 25.06.2021 года №212, и состоит из 17 веществ: хлориды, сульфаты, взвешенные вещества, нитраты, нитриты, азот аммонийный, медь, свинец, железо, цинк, БПК</w:t>
      </w:r>
      <w:r w:rsidRPr="00317CF3">
        <w:rPr>
          <w:rFonts w:ascii="Times New Roman" w:hAnsi="Times New Roman"/>
          <w:sz w:val="28"/>
          <w:szCs w:val="28"/>
          <w:vertAlign w:val="subscript"/>
        </w:rPr>
        <w:t>полное</w:t>
      </w:r>
      <w:r w:rsidRPr="00317CF3">
        <w:rPr>
          <w:rFonts w:ascii="Times New Roman" w:hAnsi="Times New Roman"/>
          <w:sz w:val="28"/>
          <w:szCs w:val="28"/>
        </w:rPr>
        <w:t>, нефтепродукты, бериллий, бор, кадмий, марганец и барий.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 xml:space="preserve">Значения для определения величины допустимого сброса в соответствии с п. 56 Методики определения нормативов эмиссий в окружающую среду, утвержденной приказом Министра экологии, геологии и природных ресурсов РК от 10.03.2021 года № 63 приняты </w:t>
      </w:r>
      <w:r w:rsidRPr="00317CF3">
        <w:rPr>
          <w:rFonts w:ascii="Times New Roman" w:hAnsi="Times New Roman"/>
          <w:b/>
          <w:sz w:val="28"/>
          <w:szCs w:val="28"/>
        </w:rPr>
        <w:t xml:space="preserve">по максимальным данным за предыдущие три года </w:t>
      </w:r>
      <w:r w:rsidRPr="00317CF3">
        <w:rPr>
          <w:rFonts w:ascii="Times New Roman" w:hAnsi="Times New Roman"/>
          <w:sz w:val="28"/>
          <w:szCs w:val="28"/>
        </w:rPr>
        <w:t>(по перспективным, менее благоприятным значениям, известным по ранее согласованным проектам расширения, реконструкции).</w:t>
      </w:r>
    </w:p>
    <w:p w:rsidR="00317CF3" w:rsidRPr="00317CF3" w:rsidRDefault="00317CF3" w:rsidP="00317CF3">
      <w:pPr>
        <w:tabs>
          <w:tab w:val="left" w:pos="1134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Контроль за состоянием подземных вод месторождения Итауыз проводится по организованной сети мониторинговых скважин службой гидрогеолога в соответствии с Рабочим проектом «Организация и ведение мониторинга подземных вод Жиландинской группы месторождений».</w:t>
      </w:r>
    </w:p>
    <w:p w:rsidR="00317CF3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lastRenderedPageBreak/>
        <w:t>Контроль за соблюдением нормативов допустимых сбросов на выпуске сточных вод при сбросе шахтной воды в отработанное пространство карьера осуществляет отдел производственного экологического контроля на основе программы производственного экологического контроля.</w:t>
      </w:r>
    </w:p>
    <w:p w:rsidR="00BA3011" w:rsidRPr="00317CF3" w:rsidRDefault="00317CF3" w:rsidP="00317CF3">
      <w:pPr>
        <w:spacing w:after="0"/>
        <w:ind w:firstLine="709"/>
        <w:rPr>
          <w:rFonts w:ascii="Times New Roman" w:hAnsi="Times New Roman"/>
          <w:sz w:val="28"/>
          <w:szCs w:val="28"/>
        </w:rPr>
      </w:pPr>
      <w:r w:rsidRPr="00317CF3">
        <w:rPr>
          <w:rFonts w:ascii="Times New Roman" w:hAnsi="Times New Roman"/>
          <w:sz w:val="28"/>
          <w:szCs w:val="28"/>
        </w:rPr>
        <w:t>Согласно решению по определению категории объекта, оказывающего негативное воздействие на окружающую среду от 25.08.2021 г., деятельность месторождения Итауыз относится к объектам I категории (приложение 5). Согласно приложению 2 Экологического кодекса РК и «</w:t>
      </w:r>
      <w:r w:rsidRPr="00317CF3">
        <w:rPr>
          <w:rFonts w:ascii="Times New Roman" w:hAnsi="Times New Roman"/>
          <w:color w:val="000000"/>
          <w:sz w:val="28"/>
          <w:szCs w:val="28"/>
        </w:rPr>
        <w:t xml:space="preserve">Инструкции по определению категории объекта, оказывающего негативное воздействие на окружающую среду», утв. приказом Министра экологии, геологии и природных ресурсов РК от 13 июля 2021 года № 246, данный вид деятельности относится к </w:t>
      </w:r>
      <w:r w:rsidRPr="00317CF3">
        <w:rPr>
          <w:rFonts w:ascii="Times New Roman" w:hAnsi="Times New Roman"/>
          <w:sz w:val="28"/>
          <w:szCs w:val="28"/>
        </w:rPr>
        <w:t>I категории.</w:t>
      </w:r>
    </w:p>
    <w:p w:rsidR="00D74280" w:rsidRPr="00D74280" w:rsidRDefault="00D74280" w:rsidP="00D74280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4D44D0" w:rsidRDefault="004D44D0" w:rsidP="004D44D0">
      <w:pPr>
        <w:spacing w:after="0"/>
      </w:pPr>
    </w:p>
    <w:sectPr w:rsidR="004D4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011" w:rsidRDefault="00BA3011" w:rsidP="00BA3011">
      <w:pPr>
        <w:spacing w:after="0"/>
      </w:pPr>
      <w:r>
        <w:separator/>
      </w:r>
    </w:p>
  </w:endnote>
  <w:endnote w:type="continuationSeparator" w:id="0">
    <w:p w:rsidR="00BA3011" w:rsidRDefault="00BA3011" w:rsidP="00BA3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3D5" w:rsidRPr="002A50AA" w:rsidRDefault="00BA3011">
    <w:pPr>
      <w:pStyle w:val="ab"/>
      <w:framePr w:wrap="around" w:vAnchor="text" w:hAnchor="margin" w:xAlign="right" w:y="1"/>
      <w:rPr>
        <w:rStyle w:val="ad"/>
        <w:sz w:val="28"/>
      </w:rPr>
    </w:pPr>
    <w:r w:rsidRPr="002A50AA">
      <w:rPr>
        <w:rStyle w:val="ad"/>
        <w:sz w:val="28"/>
      </w:rPr>
      <w:fldChar w:fldCharType="begin"/>
    </w:r>
    <w:r w:rsidRPr="002A50AA">
      <w:rPr>
        <w:rStyle w:val="ad"/>
        <w:sz w:val="28"/>
      </w:rPr>
      <w:instrText xml:space="preserve">PAGE  </w:instrText>
    </w:r>
    <w:r w:rsidRPr="002A50AA">
      <w:rPr>
        <w:rStyle w:val="ad"/>
        <w:sz w:val="28"/>
      </w:rPr>
      <w:fldChar w:fldCharType="end"/>
    </w:r>
  </w:p>
  <w:p w:rsidR="004223D5" w:rsidRPr="002A50AA" w:rsidRDefault="00317CF3">
    <w:pPr>
      <w:pStyle w:val="ab"/>
      <w:ind w:right="360"/>
      <w:rPr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011" w:rsidRDefault="00BA3011" w:rsidP="00BA3011">
      <w:pPr>
        <w:spacing w:after="0"/>
      </w:pPr>
      <w:r>
        <w:separator/>
      </w:r>
    </w:p>
  </w:footnote>
  <w:footnote w:type="continuationSeparator" w:id="0">
    <w:p w:rsidR="00BA3011" w:rsidRDefault="00BA3011" w:rsidP="00BA301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D09"/>
    <w:multiLevelType w:val="hybridMultilevel"/>
    <w:tmpl w:val="BE02DD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A93E8F"/>
    <w:multiLevelType w:val="multilevel"/>
    <w:tmpl w:val="D95891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590918"/>
    <w:multiLevelType w:val="hybridMultilevel"/>
    <w:tmpl w:val="1A5A4956"/>
    <w:lvl w:ilvl="0" w:tplc="5A0A8CF8">
      <w:start w:val="65535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2D40C13"/>
    <w:multiLevelType w:val="hybridMultilevel"/>
    <w:tmpl w:val="113A4C3A"/>
    <w:lvl w:ilvl="0" w:tplc="59F68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4BC2060E"/>
    <w:multiLevelType w:val="hybridMultilevel"/>
    <w:tmpl w:val="DBECAB64"/>
    <w:lvl w:ilvl="0" w:tplc="4B3CC04A">
      <w:start w:val="1"/>
      <w:numFmt w:val="bullet"/>
      <w:lvlText w:val="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6"/>
        </w:tabs>
        <w:ind w:left="15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6"/>
        </w:tabs>
        <w:ind w:left="22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6"/>
        </w:tabs>
        <w:ind w:left="29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6"/>
        </w:tabs>
        <w:ind w:left="36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6"/>
        </w:tabs>
        <w:ind w:left="44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6"/>
        </w:tabs>
        <w:ind w:left="51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6"/>
        </w:tabs>
        <w:ind w:left="58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6"/>
        </w:tabs>
        <w:ind w:left="6566" w:hanging="360"/>
      </w:pPr>
      <w:rPr>
        <w:rFonts w:ascii="Wingdings" w:hAnsi="Wingdings" w:hint="default"/>
      </w:rPr>
    </w:lvl>
  </w:abstractNum>
  <w:abstractNum w:abstractNumId="5" w15:restartNumberingAfterBreak="0">
    <w:nsid w:val="633365FA"/>
    <w:multiLevelType w:val="hybridMultilevel"/>
    <w:tmpl w:val="2EBE9B52"/>
    <w:lvl w:ilvl="0" w:tplc="78FCC262">
      <w:start w:val="2"/>
      <w:numFmt w:val="bullet"/>
      <w:pStyle w:val="MARKER1"/>
      <w:lvlText w:val=""/>
      <w:lvlJc w:val="left"/>
      <w:pPr>
        <w:tabs>
          <w:tab w:val="num" w:pos="454"/>
        </w:tabs>
        <w:ind w:left="454" w:hanging="341"/>
      </w:pPr>
      <w:rPr>
        <w:rFonts w:ascii="Symbol" w:eastAsia="Times New Roman" w:hAnsi="Symbol" w:cs="Times New Roman" w:hint="default"/>
        <w:b w:val="0"/>
        <w:color w:val="auto"/>
        <w:sz w:val="22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72"/>
    <w:rsid w:val="00070B7B"/>
    <w:rsid w:val="00294D4E"/>
    <w:rsid w:val="00317CF3"/>
    <w:rsid w:val="00424A6A"/>
    <w:rsid w:val="004C48F7"/>
    <w:rsid w:val="004D44D0"/>
    <w:rsid w:val="00532C03"/>
    <w:rsid w:val="00565D72"/>
    <w:rsid w:val="007D08CB"/>
    <w:rsid w:val="008C19FC"/>
    <w:rsid w:val="008E424F"/>
    <w:rsid w:val="009C35D6"/>
    <w:rsid w:val="00B7368D"/>
    <w:rsid w:val="00BA3011"/>
    <w:rsid w:val="00C44E36"/>
    <w:rsid w:val="00D74280"/>
    <w:rsid w:val="00E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C863"/>
  <w15:chartTrackingRefBased/>
  <w15:docId w15:val="{71A02965-C425-437E-9192-C989BEAE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D72"/>
    <w:pPr>
      <w:kinsoku w:val="0"/>
      <w:overflowPunct w:val="0"/>
      <w:autoSpaceDE w:val="0"/>
      <w:autoSpaceDN w:val="0"/>
      <w:adjustRightInd w:val="0"/>
      <w:snapToGrid w:val="0"/>
      <w:spacing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aliases w:val="KAAE,Chapter Head,HeadingR 1,HeadingR 11,HeadingR 12,HeadingR 13,HeadingR 14,HeadingR 15,HeadingR 16,RSKH1,Hoofdstuk,Modulo,- 1st Order Heading,Report Heading 1,TA CHAPTER NO.,. (1.0),CHAPTER HEADER,ALK_K1,Heading 1_ARGOSS,Ззаголовок 1,D&amp;M,H"/>
    <w:basedOn w:val="a"/>
    <w:next w:val="a"/>
    <w:link w:val="10"/>
    <w:uiPriority w:val="99"/>
    <w:qFormat/>
    <w:rsid w:val="00565D72"/>
    <w:pPr>
      <w:widowControl w:val="0"/>
      <w:spacing w:after="0"/>
      <w:ind w:firstLine="709"/>
      <w:outlineLvl w:val="0"/>
    </w:pPr>
    <w:rPr>
      <w:rFonts w:ascii="Times New Roman" w:hAnsi="Times New Roman"/>
      <w:b/>
      <w:bCs/>
      <w:caps/>
      <w:kern w:val="32"/>
      <w:sz w:val="28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KAAE Знак,Chapter Head Знак,HeadingR 1 Знак,HeadingR 11 Знак,HeadingR 12 Знак,HeadingR 13 Знак,HeadingR 14 Знак,HeadingR 15 Знак,HeadingR 16 Знак,RSKH1 Знак,Hoofdstuk Знак,Modulo Знак,- 1st Order Heading Знак,Report Heading 1 Знак"/>
    <w:basedOn w:val="a0"/>
    <w:link w:val="1"/>
    <w:uiPriority w:val="99"/>
    <w:rsid w:val="00565D72"/>
    <w:rPr>
      <w:rFonts w:ascii="Times New Roman" w:eastAsia="Times New Roman" w:hAnsi="Times New Roman" w:cs="Times New Roman"/>
      <w:b/>
      <w:bCs/>
      <w:caps/>
      <w:kern w:val="32"/>
      <w:sz w:val="28"/>
      <w:lang w:val="x-none" w:eastAsia="x-none"/>
    </w:rPr>
  </w:style>
  <w:style w:type="paragraph" w:styleId="a3">
    <w:name w:val="List Paragraph"/>
    <w:aliases w:val="маркированный,Paragraph,Citation List,Resume Title,List Paragraph Char Char,Bullet 1,List Paragraph1,b1,Number_1,SGLText List Paragraph,new,lp1,Normal Sentence,Colorful List - Accent 11,ListPar1,List Paragraph2,List Paragraph11,list1,HEAD 3"/>
    <w:basedOn w:val="a"/>
    <w:link w:val="a4"/>
    <w:uiPriority w:val="34"/>
    <w:qFormat/>
    <w:rsid w:val="00565D72"/>
    <w:pPr>
      <w:ind w:left="720"/>
      <w:contextualSpacing/>
    </w:pPr>
    <w:rPr>
      <w:lang w:val="x-none" w:eastAsia="x-none"/>
    </w:rPr>
  </w:style>
  <w:style w:type="paragraph" w:customStyle="1" w:styleId="Default">
    <w:name w:val="Default"/>
    <w:qFormat/>
    <w:rsid w:val="00565D72"/>
    <w:pPr>
      <w:autoSpaceDE w:val="0"/>
      <w:autoSpaceDN w:val="0"/>
      <w:adjustRightInd w:val="0"/>
      <w:spacing w:after="0" w:line="240" w:lineRule="auto"/>
    </w:pPr>
    <w:rPr>
      <w:rFonts w:ascii="Arial" w:eastAsia="Courier New" w:hAnsi="Arial" w:cs="Arial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маркированный Знак,Paragraph Знак,Citation List Знак,Resume Title Знак,List Paragraph Char Char Знак,Bullet 1 Знак,List Paragraph1 Знак,b1 Знак,Number_1 Знак,SGLText List Paragraph Знак,new Знак,lp1 Знак,Normal Sentence Знак,list1 Знак"/>
    <w:link w:val="a3"/>
    <w:uiPriority w:val="34"/>
    <w:qFormat/>
    <w:locked/>
    <w:rsid w:val="00565D7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5">
    <w:name w:val="Основной текст + Курсив"/>
    <w:rsid w:val="00565D7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MARKER1">
    <w:name w:val="**MARKER_1"/>
    <w:basedOn w:val="a"/>
    <w:link w:val="MARKER10"/>
    <w:qFormat/>
    <w:rsid w:val="00B7368D"/>
    <w:pPr>
      <w:numPr>
        <w:numId w:val="5"/>
      </w:numPr>
    </w:pPr>
  </w:style>
  <w:style w:type="character" w:customStyle="1" w:styleId="MARKER10">
    <w:name w:val="**MARKER_1 Знак Знак"/>
    <w:link w:val="MARKER1"/>
    <w:rsid w:val="00B7368D"/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rsid w:val="00070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aliases w:val="Основной текст с отступом Знак1,Основной текст с отступом Знак Знак"/>
    <w:basedOn w:val="a"/>
    <w:link w:val="a8"/>
    <w:unhideWhenUsed/>
    <w:qFormat/>
    <w:rsid w:val="00D74280"/>
    <w:pPr>
      <w:kinsoku/>
      <w:overflowPunct/>
      <w:autoSpaceDE/>
      <w:autoSpaceDN/>
      <w:adjustRightInd/>
      <w:snapToGrid/>
      <w:ind w:left="283"/>
      <w:jc w:val="left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aliases w:val="Основной текст с отступом Знак1 Знак,Основной текст с отступом Знак Знак Знак"/>
    <w:basedOn w:val="a0"/>
    <w:link w:val="a7"/>
    <w:rsid w:val="00D74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aliases w:val="Title Up,h,Header_ARGOSS,??????? ??????????,FirstPageHeader,FirstPageHeader1,FirstPageHeader2,FirstPageHeader3,FirstPageHeader4,FirstPageHeader5,FirstPageHeader6,FirstPageHeader7,FirstPageHeader8,FirstPageHeader9,FirstPageHeader10"/>
    <w:basedOn w:val="a"/>
    <w:link w:val="aa"/>
    <w:uiPriority w:val="99"/>
    <w:qFormat/>
    <w:rsid w:val="00BA3011"/>
    <w:pPr>
      <w:tabs>
        <w:tab w:val="center" w:pos="4677"/>
        <w:tab w:val="right" w:pos="9355"/>
      </w:tabs>
      <w:kinsoku/>
      <w:overflowPunct/>
      <w:autoSpaceDE/>
      <w:autoSpaceDN/>
      <w:adjustRightInd/>
      <w:snapToGrid/>
      <w:spacing w:after="0"/>
      <w:jc w:val="left"/>
    </w:pPr>
    <w:rPr>
      <w:rFonts w:ascii="Times New Roman" w:hAnsi="Times New Roman"/>
    </w:rPr>
  </w:style>
  <w:style w:type="character" w:customStyle="1" w:styleId="aa">
    <w:name w:val="Верхний колонтитул Знак"/>
    <w:aliases w:val="Title Up Знак,h Знак,Header_ARGOSS Знак,??????? ?????????? Знак,FirstPageHeader Знак,FirstPageHeader1 Знак,FirstPageHeader2 Знак,FirstPageHeader3 Знак,FirstPageHeader4 Знак,FirstPageHeader5 Знак,FirstPageHeader6 Знак"/>
    <w:basedOn w:val="a0"/>
    <w:link w:val="a9"/>
    <w:uiPriority w:val="99"/>
    <w:rsid w:val="00BA30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aliases w:val="Title Down,Footer_ARGOSS"/>
    <w:basedOn w:val="a"/>
    <w:link w:val="ac"/>
    <w:uiPriority w:val="99"/>
    <w:qFormat/>
    <w:rsid w:val="00BA3011"/>
    <w:pPr>
      <w:tabs>
        <w:tab w:val="center" w:pos="4677"/>
        <w:tab w:val="right" w:pos="9355"/>
      </w:tabs>
      <w:kinsoku/>
      <w:overflowPunct/>
      <w:autoSpaceDE/>
      <w:autoSpaceDN/>
      <w:adjustRightInd/>
      <w:snapToGrid/>
      <w:spacing w:after="0"/>
      <w:jc w:val="left"/>
    </w:pPr>
    <w:rPr>
      <w:rFonts w:ascii="Times New Roman" w:hAnsi="Times New Roman"/>
      <w:sz w:val="24"/>
      <w:szCs w:val="24"/>
    </w:rPr>
  </w:style>
  <w:style w:type="character" w:customStyle="1" w:styleId="ac">
    <w:name w:val="Нижний колонтитул Знак"/>
    <w:aliases w:val="Title Down Знак,Footer_ARGOSS Знак"/>
    <w:basedOn w:val="a0"/>
    <w:link w:val="ab"/>
    <w:uiPriority w:val="99"/>
    <w:rsid w:val="00BA30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aliases w:val="Page Number arabic"/>
    <w:basedOn w:val="a0"/>
    <w:rsid w:val="00BA3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2450</Words>
  <Characters>13967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 Сулейменова</dc:creator>
  <cp:keywords/>
  <dc:description/>
  <cp:lastModifiedBy>Айжан Сулейменова</cp:lastModifiedBy>
  <cp:revision>6</cp:revision>
  <dcterms:created xsi:type="dcterms:W3CDTF">2026-03-18T09:17:00Z</dcterms:created>
  <dcterms:modified xsi:type="dcterms:W3CDTF">2026-09-23T04:19:00Z</dcterms:modified>
</cp:coreProperties>
</file>