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EDD8A" w14:textId="34BF150C" w:rsidR="0006534D" w:rsidRPr="0034139C" w:rsidRDefault="00EA68B9" w:rsidP="0034139C">
      <w:pPr>
        <w:jc w:val="center"/>
        <w:rPr>
          <w:rFonts w:ascii="Times New Roman" w:hAnsi="Times New Roman" w:cs="Times New Roman"/>
          <w:b/>
          <w:bCs/>
          <w:sz w:val="28"/>
          <w:szCs w:val="28"/>
        </w:rPr>
      </w:pPr>
      <w:r w:rsidRPr="0034139C">
        <w:rPr>
          <w:rFonts w:ascii="Times New Roman" w:hAnsi="Times New Roman" w:cs="Times New Roman"/>
          <w:b/>
          <w:bCs/>
          <w:sz w:val="28"/>
          <w:szCs w:val="28"/>
        </w:rPr>
        <w:t>Нетехническое Резюме</w:t>
      </w:r>
    </w:p>
    <w:p w14:paraId="34AF0699" w14:textId="77777777" w:rsidR="00CF004A" w:rsidRPr="00B77484" w:rsidRDefault="00CF004A" w:rsidP="00CF004A">
      <w:pPr>
        <w:pStyle w:val="a5"/>
        <w:rPr>
          <w:bCs/>
          <w:szCs w:val="24"/>
        </w:rPr>
      </w:pPr>
      <w:r w:rsidRPr="00B77484">
        <w:rPr>
          <w:bCs/>
        </w:rPr>
        <w:t>ТОО «</w:t>
      </w:r>
      <w:r>
        <w:rPr>
          <w:bCs/>
        </w:rPr>
        <w:t>Алтыналмас Technology</w:t>
      </w:r>
      <w:r w:rsidRPr="00B77484">
        <w:rPr>
          <w:bCs/>
        </w:rPr>
        <w:t>»</w:t>
      </w:r>
      <w:r w:rsidRPr="00B77484">
        <w:rPr>
          <w:bCs/>
          <w:szCs w:val="24"/>
        </w:rPr>
        <w:t>.</w:t>
      </w:r>
    </w:p>
    <w:p w14:paraId="399CF62C" w14:textId="77777777" w:rsidR="00CF004A" w:rsidRPr="00AF3A24" w:rsidRDefault="00CF004A" w:rsidP="00CF004A">
      <w:pPr>
        <w:pStyle w:val="Default"/>
      </w:pPr>
      <w:r w:rsidRPr="00AF3A24">
        <w:t>Республика Казахстан, г. Алматы, БЦ Venus, улица Елебекова, 10/1</w:t>
      </w:r>
    </w:p>
    <w:p w14:paraId="559CC09D" w14:textId="77777777" w:rsidR="00CF004A" w:rsidRPr="00AF3A24" w:rsidRDefault="00CF004A" w:rsidP="00CF004A">
      <w:pPr>
        <w:pStyle w:val="Default"/>
      </w:pPr>
      <w:r w:rsidRPr="00AF3A24">
        <w:t>БИН 171140038620</w:t>
      </w:r>
    </w:p>
    <w:p w14:paraId="79961D93" w14:textId="77777777" w:rsidR="00CF004A" w:rsidRPr="00AF3A24" w:rsidRDefault="00CF004A" w:rsidP="00CF004A">
      <w:pPr>
        <w:pStyle w:val="Default"/>
      </w:pPr>
      <w:r w:rsidRPr="00AF3A24">
        <w:t>+7 (727) 350-02-00</w:t>
      </w:r>
    </w:p>
    <w:p w14:paraId="0EF988BE" w14:textId="77777777" w:rsidR="00CF004A" w:rsidRPr="00AF3A24" w:rsidRDefault="00CF004A" w:rsidP="00CF004A">
      <w:pPr>
        <w:pStyle w:val="Default"/>
      </w:pPr>
      <w:r w:rsidRPr="00AF3A24">
        <w:t>+7 (771) 726-00-81</w:t>
      </w:r>
    </w:p>
    <w:p w14:paraId="15FF89B6" w14:textId="77777777" w:rsidR="00CF004A" w:rsidRPr="00AF3A24" w:rsidRDefault="00CF004A" w:rsidP="00CF004A">
      <w:pPr>
        <w:pStyle w:val="Default"/>
      </w:pPr>
      <w:r w:rsidRPr="00AF3A24">
        <w:t>info@altynalmas.kz</w:t>
      </w:r>
    </w:p>
    <w:p w14:paraId="0752D6CC" w14:textId="77777777" w:rsidR="00CF004A" w:rsidRDefault="00CF004A" w:rsidP="00CF004A">
      <w:pPr>
        <w:pStyle w:val="Default"/>
      </w:pPr>
      <w:bookmarkStart w:id="0" w:name="_Hlk174542970"/>
      <w:r w:rsidRPr="00B77484">
        <w:t>ТОО «</w:t>
      </w:r>
      <w:r>
        <w:t>Алтыналмас Technology</w:t>
      </w:r>
      <w:r w:rsidRPr="00B77484">
        <w:t xml:space="preserve">» имеет </w:t>
      </w:r>
      <w:r>
        <w:t>2</w:t>
      </w:r>
      <w:r w:rsidRPr="00B77484">
        <w:t xml:space="preserve"> промышленную площадку.</w:t>
      </w:r>
    </w:p>
    <w:p w14:paraId="1007151F" w14:textId="77777777" w:rsidR="00CF004A" w:rsidRPr="00C748B3" w:rsidRDefault="00CF004A" w:rsidP="00CF004A">
      <w:pPr>
        <w:pStyle w:val="Default"/>
        <w:numPr>
          <w:ilvl w:val="0"/>
          <w:numId w:val="3"/>
        </w:numPr>
        <w:autoSpaceDE/>
        <w:autoSpaceDN/>
        <w:adjustRightInd/>
        <w:ind w:left="851"/>
        <w:rPr>
          <w:lang w:bidi="ru-RU"/>
        </w:rPr>
      </w:pPr>
      <w:r w:rsidRPr="00C748B3">
        <w:t xml:space="preserve">Площадка № 1 - </w:t>
      </w:r>
      <w:r w:rsidRPr="00C748B3">
        <w:rPr>
          <w:lang w:bidi="ru-RU"/>
        </w:rPr>
        <w:t>Золотоизвлекательная фабрика «Долинное» (ЗИФ «Долинное»)</w:t>
      </w:r>
    </w:p>
    <w:p w14:paraId="7AC204E6" w14:textId="77777777" w:rsidR="00CF004A" w:rsidRPr="00C748B3" w:rsidRDefault="00CF004A" w:rsidP="00CF004A">
      <w:pPr>
        <w:pStyle w:val="Default"/>
        <w:numPr>
          <w:ilvl w:val="0"/>
          <w:numId w:val="3"/>
        </w:numPr>
        <w:autoSpaceDE/>
        <w:autoSpaceDN/>
        <w:adjustRightInd/>
        <w:ind w:left="851"/>
      </w:pPr>
      <w:r w:rsidRPr="00C748B3">
        <w:t xml:space="preserve">Площадка № 2 – Корпус </w:t>
      </w:r>
      <w:r w:rsidRPr="00C748B3">
        <w:rPr>
          <w:lang w:bidi="ru-RU"/>
        </w:rPr>
        <w:t>ультратонкого измельчения и цианирования (Корпус УТИ)</w:t>
      </w:r>
    </w:p>
    <w:p w14:paraId="0042E611" w14:textId="77777777" w:rsidR="00CF004A" w:rsidRPr="00AC2D90" w:rsidRDefault="00CF004A" w:rsidP="00CF004A">
      <w:pPr>
        <w:pStyle w:val="Default"/>
      </w:pPr>
      <w:r w:rsidRPr="00AC2D90">
        <w:t>Завод по производству драгоценных металлов располагается на территории золотоизвлекательной фабрики АО «АК Алтыналмас», административно расположен в Актогайском районе Карагандинской области, в 80,6 км к востоку от г. Балхаша и в 15,8 км к северо-востоку от железнодорожной станции Акжайдак ветки Балхаш - Актогай.</w:t>
      </w:r>
    </w:p>
    <w:p w14:paraId="2180CD0E" w14:textId="77777777" w:rsidR="00CF004A" w:rsidRPr="00AC2D90" w:rsidRDefault="00CF004A" w:rsidP="00CF004A">
      <w:pPr>
        <w:pStyle w:val="Default"/>
      </w:pPr>
      <w:r w:rsidRPr="00AC2D90">
        <w:t>ЗИФ «Долинное» предназначен для переработки золотосодержащей руды. Исходная руда будет с месторождения Долинное, расположенного в 12 км к северо-востоку от проектируемой фабрики.</w:t>
      </w:r>
    </w:p>
    <w:bookmarkEnd w:id="0"/>
    <w:p w14:paraId="65475260" w14:textId="77777777" w:rsidR="00CF004A" w:rsidRPr="00AC2D90" w:rsidRDefault="00CF004A" w:rsidP="00CF004A">
      <w:pPr>
        <w:pStyle w:val="Default"/>
      </w:pPr>
      <w:r w:rsidRPr="00AC2D90">
        <w:t>Производительность ЗИФ «Долинное» составляет 3000000 тонн руды в год. Содержание золота в исходной руде, поступающей на переработку - 0,91 г/т.</w:t>
      </w:r>
    </w:p>
    <w:p w14:paraId="7C300F41" w14:textId="77777777" w:rsidR="00CF004A" w:rsidRPr="00AC2D90" w:rsidRDefault="00CF004A" w:rsidP="00CF004A">
      <w:pPr>
        <w:pStyle w:val="Default"/>
      </w:pPr>
      <w:r w:rsidRPr="00AC2D90">
        <w:t>Конечными товарными продуктами переработки руды на фабрике будут являться золотосодержащий раствор выщелачивания гравитационного концентрата (раствор Acacia), насыщенный золотосодержащий раствор, полученный при десорбции золота из угля процесса CIP (выщелачивания хвостов гравитации). Золотосодержащий раствор Acacia и насыщенный золотосодержащий раствор с угля CIP отправляются на электролиз на существующий завод по производству драгоценных металлов для получения конечной товарной продукции - сплава Доре.</w:t>
      </w:r>
    </w:p>
    <w:p w14:paraId="5AC61D68" w14:textId="77777777" w:rsidR="00CF004A" w:rsidRPr="00AC2D90" w:rsidRDefault="00CF004A" w:rsidP="00CF004A">
      <w:pPr>
        <w:pStyle w:val="Default"/>
      </w:pPr>
      <w:r w:rsidRPr="00AC2D90">
        <w:t>Удалённость от крупнейших промышленных центров:</w:t>
      </w:r>
    </w:p>
    <w:p w14:paraId="7D631517" w14:textId="77777777" w:rsidR="00CF004A" w:rsidRPr="00AC2D90" w:rsidRDefault="00CF004A" w:rsidP="00CF004A">
      <w:pPr>
        <w:pStyle w:val="Default"/>
        <w:numPr>
          <w:ilvl w:val="0"/>
          <w:numId w:val="2"/>
        </w:numPr>
        <w:autoSpaceDE/>
        <w:autoSpaceDN/>
        <w:adjustRightInd/>
      </w:pPr>
      <w:r w:rsidRPr="00AC2D90">
        <w:t>г. Балхаш, 80,6 км на Запад;</w:t>
      </w:r>
    </w:p>
    <w:p w14:paraId="5D2D0C4A" w14:textId="77777777" w:rsidR="00CF004A" w:rsidRPr="00AC2D90" w:rsidRDefault="00CF004A" w:rsidP="00CF004A">
      <w:pPr>
        <w:pStyle w:val="Default"/>
        <w:numPr>
          <w:ilvl w:val="0"/>
          <w:numId w:val="2"/>
        </w:numPr>
        <w:autoSpaceDE/>
        <w:autoSpaceDN/>
        <w:adjustRightInd/>
      </w:pPr>
      <w:r w:rsidRPr="00AC2D90">
        <w:t>г. Караганда, 235 км на Северо-Запад.</w:t>
      </w:r>
    </w:p>
    <w:p w14:paraId="243D5351" w14:textId="77777777" w:rsidR="00CF004A" w:rsidRPr="00AC2D90" w:rsidRDefault="00CF004A" w:rsidP="00CF004A">
      <w:pPr>
        <w:pStyle w:val="Default"/>
      </w:pPr>
      <w:r w:rsidRPr="00AC2D90">
        <w:t>Район полупустынный, с очень низкой плотностью населения. Ближайший населённый пункт в 15,8 км к юго-западу от месторождения - железнодорожная станция Акжайдак.</w:t>
      </w:r>
    </w:p>
    <w:p w14:paraId="5FB21B7F" w14:textId="77777777" w:rsidR="00CF004A" w:rsidRPr="00AC2D90" w:rsidRDefault="00CF004A" w:rsidP="00CF004A">
      <w:pPr>
        <w:pStyle w:val="Default"/>
      </w:pPr>
      <w:r w:rsidRPr="00AC2D90">
        <w:t>Населённых пунктов в зоне потенциального влияния нет, а также отсутствуют санитарно-профилактические учреждения, зоны отдыха, историко-архитектурные и природные памятники, охраняемые законами Республики Казахстан.</w:t>
      </w:r>
    </w:p>
    <w:p w14:paraId="4ED5C581" w14:textId="77777777" w:rsidR="00CF004A" w:rsidRPr="00AC2D90" w:rsidRDefault="00CF004A" w:rsidP="00CF004A">
      <w:pPr>
        <w:pStyle w:val="Default"/>
      </w:pPr>
      <w:r w:rsidRPr="00AC2D90">
        <w:t>Автотранспортная связь между ЗИФ и городом Балхаш осуществляется по грейдеру и по дороге с асфальтным покрытием (50 км), с месторождения до железнодорожной станции Акжайдак - по грейдеру.</w:t>
      </w:r>
    </w:p>
    <w:p w14:paraId="7A06D50E" w14:textId="77777777" w:rsidR="00CF004A" w:rsidRPr="00AC2D90" w:rsidRDefault="00CF004A" w:rsidP="00CF004A">
      <w:pPr>
        <w:pStyle w:val="Default"/>
      </w:pPr>
      <w:r w:rsidRPr="00AC2D90">
        <w:t>На границах санитарно-защитной зоны, селитебных территорий, зон отдыха (территории заповедников, музеев, памятников архитектуры), санаториев, домов отдыха отсутствует.</w:t>
      </w:r>
    </w:p>
    <w:p w14:paraId="5AD0B5B2" w14:textId="77777777" w:rsidR="00DE42B1" w:rsidRPr="002C19AA" w:rsidRDefault="00DE42B1" w:rsidP="00DE42B1">
      <w:pPr>
        <w:pStyle w:val="21"/>
      </w:pPr>
    </w:p>
    <w:p w14:paraId="70D0B6B3" w14:textId="77777777" w:rsidR="0034139C" w:rsidRDefault="0034139C" w:rsidP="00EA68B9">
      <w:pPr>
        <w:ind w:firstLine="567"/>
        <w:rPr>
          <w:rFonts w:ascii="Times New Roman" w:hAnsi="Times New Roman" w:cs="Times New Roman"/>
          <w:sz w:val="24"/>
          <w:szCs w:val="24"/>
        </w:rPr>
        <w:sectPr w:rsidR="0034139C" w:rsidSect="0034139C">
          <w:pgSz w:w="11906" w:h="16838" w:code="9"/>
          <w:pgMar w:top="720" w:right="720" w:bottom="720" w:left="720" w:header="709" w:footer="709" w:gutter="0"/>
          <w:cols w:space="708"/>
          <w:docGrid w:linePitch="360"/>
        </w:sectPr>
      </w:pPr>
    </w:p>
    <w:p w14:paraId="2E90BB94" w14:textId="27843ECA" w:rsidR="00B34E30" w:rsidRPr="00B34E30" w:rsidRDefault="00B34E30" w:rsidP="00B34E30">
      <w:pPr>
        <w:spacing w:after="0" w:line="240" w:lineRule="auto"/>
        <w:jc w:val="center"/>
        <w:rPr>
          <w:rFonts w:ascii="Times New Roman" w:eastAsia="Times New Roman" w:hAnsi="Times New Roman" w:cs="Times New Roman"/>
          <w:sz w:val="24"/>
          <w:szCs w:val="24"/>
          <w:lang w:eastAsia="ru-RU"/>
        </w:rPr>
      </w:pPr>
    </w:p>
    <w:p w14:paraId="60751690" w14:textId="77777777" w:rsidR="00670B5F" w:rsidRPr="00B77484" w:rsidRDefault="00670B5F" w:rsidP="00670B5F">
      <w:pPr>
        <w:pStyle w:val="a9"/>
      </w:pPr>
      <w:bookmarkStart w:id="1" w:name="_Toc184235433"/>
      <w:r>
        <w:t xml:space="preserve">Рисунок </w:t>
      </w:r>
      <w:r w:rsidR="00E873AA">
        <w:fldChar w:fldCharType="begin"/>
      </w:r>
      <w:r w:rsidR="00E873AA">
        <w:instrText xml:space="preserve"> STYLEREF 1 \s </w:instrText>
      </w:r>
      <w:r w:rsidR="00E873AA">
        <w:fldChar w:fldCharType="separate"/>
      </w:r>
      <w:r>
        <w:rPr>
          <w:noProof/>
        </w:rPr>
        <w:t>6</w:t>
      </w:r>
      <w:r w:rsidR="00E873AA">
        <w:rPr>
          <w:noProof/>
        </w:rPr>
        <w:fldChar w:fldCharType="end"/>
      </w:r>
      <w:r>
        <w:t>.</w:t>
      </w:r>
      <w:r w:rsidR="00E873AA">
        <w:fldChar w:fldCharType="begin"/>
      </w:r>
      <w:r w:rsidR="00E873AA">
        <w:instrText xml:space="preserve"> SEQ Рисунок \* ARABIC \s 1 </w:instrText>
      </w:r>
      <w:r w:rsidR="00E873AA">
        <w:fldChar w:fldCharType="separate"/>
      </w:r>
      <w:r>
        <w:rPr>
          <w:noProof/>
        </w:rPr>
        <w:t>1</w:t>
      </w:r>
      <w:r w:rsidR="00E873AA">
        <w:rPr>
          <w:noProof/>
        </w:rPr>
        <w:fldChar w:fldCharType="end"/>
      </w:r>
      <w:r>
        <w:t xml:space="preserve"> </w:t>
      </w:r>
      <w:r w:rsidRPr="00B77484">
        <w:t>Карта-схема предприятия с нанесенным на нее источниками выбросов загрязняющих веществ в атмосферу</w:t>
      </w:r>
      <w:bookmarkEnd w:id="1"/>
    </w:p>
    <w:p w14:paraId="06EF6B08" w14:textId="31BBBED1" w:rsidR="00670B5F" w:rsidRDefault="00CF004A" w:rsidP="00DE42B1">
      <w:pPr>
        <w:jc w:val="center"/>
      </w:pPr>
      <w:r>
        <w:rPr>
          <w:noProof/>
          <w:lang w:eastAsia="ru-RU"/>
        </w:rPr>
        <w:drawing>
          <wp:inline distT="0" distB="0" distL="0" distR="0" wp14:anchorId="7473E544" wp14:editId="4084B80C">
            <wp:extent cx="9777730" cy="564769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email">
                      <a:extLst>
                        <a:ext uri="{28A0092B-C50C-407E-A947-70E740481C1C}">
                          <a14:useLocalDpi xmlns:a14="http://schemas.microsoft.com/office/drawing/2010/main"/>
                        </a:ext>
                      </a:extLst>
                    </a:blip>
                    <a:stretch>
                      <a:fillRect/>
                    </a:stretch>
                  </pic:blipFill>
                  <pic:spPr>
                    <a:xfrm>
                      <a:off x="0" y="0"/>
                      <a:ext cx="9777730" cy="5647690"/>
                    </a:xfrm>
                    <a:prstGeom prst="rect">
                      <a:avLst/>
                    </a:prstGeom>
                  </pic:spPr>
                </pic:pic>
              </a:graphicData>
            </a:graphic>
          </wp:inline>
        </w:drawing>
      </w:r>
    </w:p>
    <w:p w14:paraId="0A9418B4" w14:textId="31DF775E" w:rsidR="00CF004A" w:rsidRDefault="00CF004A" w:rsidP="00DE42B1">
      <w:pPr>
        <w:jc w:val="center"/>
      </w:pPr>
    </w:p>
    <w:p w14:paraId="64F32152" w14:textId="5E522E43" w:rsidR="00CF004A" w:rsidRDefault="00CF004A" w:rsidP="00DE42B1">
      <w:pPr>
        <w:jc w:val="center"/>
      </w:pPr>
    </w:p>
    <w:p w14:paraId="11C5BAA0" w14:textId="5377CF83" w:rsidR="00CF004A" w:rsidRDefault="00CF004A" w:rsidP="00DE42B1">
      <w:pPr>
        <w:jc w:val="center"/>
      </w:pPr>
    </w:p>
    <w:p w14:paraId="3660B3E6" w14:textId="6B983FD3" w:rsidR="00CF004A" w:rsidRDefault="00CF004A" w:rsidP="00DE42B1">
      <w:pPr>
        <w:jc w:val="center"/>
      </w:pPr>
      <w:r>
        <w:rPr>
          <w:noProof/>
          <w:lang w:eastAsia="ru-RU"/>
        </w:rPr>
        <w:drawing>
          <wp:inline distT="0" distB="0" distL="0" distR="0" wp14:anchorId="62071762" wp14:editId="45190316">
            <wp:extent cx="8674735" cy="5144770"/>
            <wp:effectExtent l="0" t="0" r="0" b="0"/>
            <wp:docPr id="52" name="Shape 52"/>
            <wp:cNvGraphicFramePr/>
            <a:graphic xmlns:a="http://schemas.openxmlformats.org/drawingml/2006/main">
              <a:graphicData uri="http://schemas.openxmlformats.org/drawingml/2006/picture">
                <pic:pic xmlns:pic="http://schemas.openxmlformats.org/drawingml/2006/picture">
                  <pic:nvPicPr>
                    <pic:cNvPr id="53" name="Picture box 53"/>
                    <pic:cNvPicPr/>
                  </pic:nvPicPr>
                  <pic:blipFill>
                    <a:blip r:embed="rId8" cstate="email">
                      <a:extLst>
                        <a:ext uri="{28A0092B-C50C-407E-A947-70E740481C1C}">
                          <a14:useLocalDpi xmlns:a14="http://schemas.microsoft.com/office/drawing/2010/main"/>
                        </a:ext>
                      </a:extLst>
                    </a:blip>
                    <a:stretch/>
                  </pic:blipFill>
                  <pic:spPr>
                    <a:xfrm>
                      <a:off x="0" y="0"/>
                      <a:ext cx="8674735" cy="5144770"/>
                    </a:xfrm>
                    <a:prstGeom prst="rect">
                      <a:avLst/>
                    </a:prstGeom>
                  </pic:spPr>
                </pic:pic>
              </a:graphicData>
            </a:graphic>
          </wp:inline>
        </w:drawing>
      </w:r>
    </w:p>
    <w:p w14:paraId="4AD583E1" w14:textId="0A57869B" w:rsidR="00CF004A" w:rsidRDefault="00CF004A" w:rsidP="00DE42B1">
      <w:pPr>
        <w:jc w:val="center"/>
      </w:pPr>
    </w:p>
    <w:p w14:paraId="5AD3A8BF" w14:textId="04FD8952" w:rsidR="00CF004A" w:rsidRDefault="00CF004A" w:rsidP="00DE42B1">
      <w:pPr>
        <w:jc w:val="center"/>
      </w:pPr>
    </w:p>
    <w:p w14:paraId="0D89D1C7" w14:textId="7B41819A" w:rsidR="00CF004A" w:rsidRDefault="00CF004A" w:rsidP="00DE42B1">
      <w:pPr>
        <w:jc w:val="center"/>
      </w:pPr>
    </w:p>
    <w:p w14:paraId="1B15E7A2" w14:textId="326400E7" w:rsidR="00CF004A" w:rsidRDefault="00CF004A" w:rsidP="00DE42B1">
      <w:pPr>
        <w:jc w:val="center"/>
      </w:pPr>
    </w:p>
    <w:p w14:paraId="12B934F6" w14:textId="3D72A537" w:rsidR="00CF004A" w:rsidRDefault="00CF004A" w:rsidP="00DE42B1">
      <w:pPr>
        <w:jc w:val="center"/>
      </w:pPr>
      <w:r>
        <w:rPr>
          <w:noProof/>
          <w:lang w:eastAsia="ru-RU"/>
        </w:rPr>
        <w:lastRenderedPageBreak/>
        <w:drawing>
          <wp:inline distT="0" distB="0" distL="0" distR="0" wp14:anchorId="7391CF5C" wp14:editId="3BCCF3B5">
            <wp:extent cx="8689480" cy="6036781"/>
            <wp:effectExtent l="0" t="0" r="0" b="254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email">
                      <a:extLst>
                        <a:ext uri="{28A0092B-C50C-407E-A947-70E740481C1C}">
                          <a14:useLocalDpi xmlns:a14="http://schemas.microsoft.com/office/drawing/2010/main"/>
                        </a:ext>
                      </a:extLst>
                    </a:blip>
                    <a:stretch>
                      <a:fillRect/>
                    </a:stretch>
                  </pic:blipFill>
                  <pic:spPr>
                    <a:xfrm>
                      <a:off x="0" y="0"/>
                      <a:ext cx="8694530" cy="6040289"/>
                    </a:xfrm>
                    <a:prstGeom prst="rect">
                      <a:avLst/>
                    </a:prstGeom>
                  </pic:spPr>
                </pic:pic>
              </a:graphicData>
            </a:graphic>
          </wp:inline>
        </w:drawing>
      </w:r>
    </w:p>
    <w:p w14:paraId="15954F07" w14:textId="77777777" w:rsidR="00CF004A" w:rsidRPr="00B77484" w:rsidRDefault="00CF004A" w:rsidP="00DE42B1">
      <w:pPr>
        <w:jc w:val="center"/>
      </w:pPr>
    </w:p>
    <w:p w14:paraId="29E9C7C8" w14:textId="77777777" w:rsidR="00670B5F" w:rsidRPr="00B77484" w:rsidRDefault="00670B5F" w:rsidP="00670B5F">
      <w:r w:rsidRPr="00B77484">
        <w:br w:type="page"/>
      </w:r>
    </w:p>
    <w:p w14:paraId="47F3CD83" w14:textId="77777777" w:rsidR="00670B5F" w:rsidRPr="00B77484" w:rsidRDefault="00670B5F" w:rsidP="00CF004A">
      <w:pPr>
        <w:sectPr w:rsidR="00670B5F" w:rsidRPr="00B77484" w:rsidSect="00795A4D">
          <w:headerReference w:type="even" r:id="rId10"/>
          <w:headerReference w:type="first" r:id="rId11"/>
          <w:pgSz w:w="16838" w:h="11906" w:orient="landscape"/>
          <w:pgMar w:top="720" w:right="720" w:bottom="720" w:left="720" w:header="709" w:footer="646" w:gutter="0"/>
          <w:cols w:space="708"/>
          <w:docGrid w:linePitch="360"/>
        </w:sectPr>
      </w:pPr>
    </w:p>
    <w:p w14:paraId="7B0021D5" w14:textId="27F4B006" w:rsidR="00EA68B9" w:rsidRPr="0034139C" w:rsidRDefault="00EA68B9" w:rsidP="00EA68B9">
      <w:pPr>
        <w:pStyle w:val="2"/>
        <w:rPr>
          <w:rFonts w:ascii="Times New Roman" w:hAnsi="Times New Roman" w:cs="Times New Roman"/>
          <w:szCs w:val="24"/>
          <w:shd w:val="clear" w:color="auto" w:fill="FFFFFF"/>
        </w:rPr>
      </w:pPr>
      <w:bookmarkStart w:id="2" w:name="_Toc187789106"/>
      <w:r w:rsidRPr="0034139C">
        <w:rPr>
          <w:rFonts w:ascii="Times New Roman" w:hAnsi="Times New Roman" w:cs="Times New Roman"/>
          <w:szCs w:val="24"/>
          <w:shd w:val="clear" w:color="auto" w:fill="FFFFFF"/>
        </w:rPr>
        <w:lastRenderedPageBreak/>
        <w:t>1.3. Источники и масштабы расчетного химического загрязнения.</w:t>
      </w:r>
      <w:bookmarkEnd w:id="2"/>
    </w:p>
    <w:p w14:paraId="2D7B7C13" w14:textId="77777777" w:rsidR="00CF004A" w:rsidRPr="00055D9B" w:rsidRDefault="00CF004A" w:rsidP="00CF004A">
      <w:pPr>
        <w:pStyle w:val="Default"/>
      </w:pPr>
      <w:bookmarkStart w:id="3" w:name="_GoBack"/>
      <w:r w:rsidRPr="00055D9B">
        <w:t>Расчет проведен на УПРЗА ЭРА v 3.0 фирмы НПП "Логос-Плюс", Новосибирск</w:t>
      </w:r>
    </w:p>
    <w:p w14:paraId="7553A796" w14:textId="77777777" w:rsidR="00CF004A" w:rsidRPr="00055D9B" w:rsidRDefault="00CF004A" w:rsidP="00CF004A">
      <w:pPr>
        <w:pStyle w:val="Default"/>
      </w:pPr>
      <w:r w:rsidRPr="00055D9B">
        <w:t>Расчет выполнен ТОО «Экологический центр инновации и реинжиниринга».</w:t>
      </w:r>
    </w:p>
    <w:p w14:paraId="255118A9" w14:textId="77777777" w:rsidR="00CF004A" w:rsidRPr="00055D9B" w:rsidRDefault="00CF004A" w:rsidP="00CF004A">
      <w:pPr>
        <w:pStyle w:val="Default"/>
      </w:pPr>
      <w:r w:rsidRPr="00055D9B">
        <w:t>Расчет величин приземных концентраций загрязняющих веществ в атмосферном воздухе (ПДК) проведен в соответствии с РНД 211.2.01.01-97 «Методика расчета концентраций в атмосферном воздухе вредных веществ, содержащихся в выбросах предприятий». Алматы, 1997 г.</w:t>
      </w:r>
    </w:p>
    <w:p w14:paraId="332BC5EA" w14:textId="77777777" w:rsidR="00CF004A" w:rsidRPr="00055D9B" w:rsidRDefault="00CF004A" w:rsidP="00CF004A">
      <w:pPr>
        <w:pStyle w:val="Default"/>
      </w:pPr>
      <w:r w:rsidRPr="00055D9B">
        <w:t>Климатические характеристики, использованные в расчете, приняты по данным РГП «Казгидромет».</w:t>
      </w:r>
    </w:p>
    <w:p w14:paraId="31547687" w14:textId="77777777" w:rsidR="00CF004A" w:rsidRPr="00055D9B" w:rsidRDefault="00CF004A" w:rsidP="00CF004A">
      <w:pPr>
        <w:suppressAutoHyphens/>
        <w:ind w:firstLine="567"/>
        <w:rPr>
          <w:rFonts w:ascii="Times New Roman" w:hAnsi="Times New Roman" w:cs="Times New Roman"/>
        </w:rPr>
      </w:pPr>
      <w:bookmarkStart w:id="4" w:name="_Hlk138254068"/>
      <w:r w:rsidRPr="00055D9B">
        <w:rPr>
          <w:rFonts w:ascii="Times New Roman" w:hAnsi="Times New Roman" w:cs="Times New Roman"/>
        </w:rPr>
        <w:t>Посты наблюдения за состоянием атмосферного воздуха в районе расположения предприятия отсутствуют.</w:t>
      </w:r>
    </w:p>
    <w:bookmarkEnd w:id="4"/>
    <w:p w14:paraId="1053EEB0" w14:textId="77777777" w:rsidR="00CF004A" w:rsidRPr="00055D9B" w:rsidRDefault="00CF004A" w:rsidP="00CF004A">
      <w:pPr>
        <w:suppressAutoHyphens/>
        <w:ind w:firstLine="567"/>
        <w:rPr>
          <w:rFonts w:ascii="Times New Roman" w:hAnsi="Times New Roman" w:cs="Times New Roman"/>
        </w:rPr>
      </w:pPr>
      <w:r w:rsidRPr="00055D9B">
        <w:rPr>
          <w:rFonts w:ascii="Times New Roman" w:hAnsi="Times New Roman" w:cs="Times New Roman"/>
        </w:rPr>
        <w:t>При отсутствии справки о фоновых концентрациях загрязняющих веществ в атмосферном воздухе с РГП «Казгидромет» применяется ориентировочные значения фоновой концентрации примесей (мг/м3) для городов с разной численностью населения соответствия с пунктом 9.8.3 РД52.04.186-89 «Руководство по контролю загрязнения атмосферы».</w:t>
      </w:r>
    </w:p>
    <w:p w14:paraId="7EF8A103" w14:textId="77777777" w:rsidR="00CF004A" w:rsidRPr="00055D9B" w:rsidRDefault="00CF004A" w:rsidP="00CF004A">
      <w:pPr>
        <w:pStyle w:val="a9"/>
        <w:rPr>
          <w:rFonts w:ascii="Times New Roman" w:hAnsi="Times New Roman"/>
        </w:rPr>
      </w:pPr>
    </w:p>
    <w:p w14:paraId="2345F072" w14:textId="77777777" w:rsidR="00CF004A" w:rsidRPr="00055D9B" w:rsidRDefault="00CF004A" w:rsidP="00CF004A">
      <w:pPr>
        <w:pStyle w:val="a9"/>
        <w:rPr>
          <w:rFonts w:ascii="Times New Roman" w:hAnsi="Times New Roman"/>
        </w:rPr>
      </w:pPr>
      <w:bookmarkStart w:id="5" w:name="_Toc179144150"/>
      <w:r w:rsidRPr="00055D9B">
        <w:rPr>
          <w:rFonts w:ascii="Times New Roman" w:hAnsi="Times New Roman"/>
        </w:rPr>
        <w:t xml:space="preserve">Таблица </w:t>
      </w:r>
      <w:r w:rsidRPr="00055D9B">
        <w:rPr>
          <w:rFonts w:ascii="Times New Roman" w:hAnsi="Times New Roman"/>
        </w:rPr>
        <w:fldChar w:fldCharType="begin"/>
      </w:r>
      <w:r w:rsidRPr="00055D9B">
        <w:rPr>
          <w:rFonts w:ascii="Times New Roman" w:hAnsi="Times New Roman"/>
        </w:rPr>
        <w:instrText xml:space="preserve"> STYLEREF 1 \s </w:instrText>
      </w:r>
      <w:r w:rsidRPr="00055D9B">
        <w:rPr>
          <w:rFonts w:ascii="Times New Roman" w:hAnsi="Times New Roman"/>
        </w:rPr>
        <w:fldChar w:fldCharType="separate"/>
      </w:r>
      <w:r w:rsidRPr="00055D9B">
        <w:rPr>
          <w:rFonts w:ascii="Times New Roman" w:hAnsi="Times New Roman"/>
          <w:noProof/>
        </w:rPr>
        <w:t>8</w:t>
      </w:r>
      <w:r w:rsidRPr="00055D9B">
        <w:rPr>
          <w:rFonts w:ascii="Times New Roman" w:hAnsi="Times New Roman"/>
          <w:noProof/>
        </w:rPr>
        <w:fldChar w:fldCharType="end"/>
      </w:r>
      <w:r w:rsidRPr="00055D9B">
        <w:rPr>
          <w:rFonts w:ascii="Times New Roman" w:hAnsi="Times New Roman"/>
        </w:rPr>
        <w:t>.</w:t>
      </w:r>
      <w:r w:rsidRPr="00055D9B">
        <w:rPr>
          <w:rFonts w:ascii="Times New Roman" w:hAnsi="Times New Roman"/>
        </w:rPr>
        <w:fldChar w:fldCharType="begin"/>
      </w:r>
      <w:r w:rsidRPr="00055D9B">
        <w:rPr>
          <w:rFonts w:ascii="Times New Roman" w:hAnsi="Times New Roman"/>
        </w:rPr>
        <w:instrText xml:space="preserve"> SEQ Таблица \* ARABIC \s 1 </w:instrText>
      </w:r>
      <w:r w:rsidRPr="00055D9B">
        <w:rPr>
          <w:rFonts w:ascii="Times New Roman" w:hAnsi="Times New Roman"/>
        </w:rPr>
        <w:fldChar w:fldCharType="separate"/>
      </w:r>
      <w:r w:rsidRPr="00055D9B">
        <w:rPr>
          <w:rFonts w:ascii="Times New Roman" w:hAnsi="Times New Roman"/>
          <w:noProof/>
        </w:rPr>
        <w:t>2</w:t>
      </w:r>
      <w:r w:rsidRPr="00055D9B">
        <w:rPr>
          <w:rFonts w:ascii="Times New Roman" w:hAnsi="Times New Roman"/>
          <w:noProof/>
        </w:rPr>
        <w:fldChar w:fldCharType="end"/>
      </w:r>
      <w:r w:rsidRPr="00055D9B">
        <w:rPr>
          <w:rFonts w:ascii="Times New Roman" w:hAnsi="Times New Roman"/>
        </w:rPr>
        <w:t xml:space="preserve"> Ориентировочные значения фоновой концентрации примесей (мг/м3) для городов с разной численностью населения</w:t>
      </w:r>
      <w:bookmarkEnd w:id="5"/>
    </w:p>
    <w:p w14:paraId="4D25FEBC" w14:textId="77777777" w:rsidR="00CF004A" w:rsidRPr="00055D9B" w:rsidRDefault="00CF004A" w:rsidP="00CF004A">
      <w:pPr>
        <w:rPr>
          <w:rFonts w:ascii="Times New Roman" w:hAnsi="Times New Roman" w:cs="Times New Roman"/>
        </w:rPr>
      </w:pPr>
    </w:p>
    <w:tbl>
      <w:tblPr>
        <w:tblW w:w="5000" w:type="pct"/>
        <w:tblLook w:val="04A0" w:firstRow="1" w:lastRow="0" w:firstColumn="1" w:lastColumn="0" w:noHBand="0" w:noVBand="1"/>
      </w:tblPr>
      <w:tblGrid>
        <w:gridCol w:w="2611"/>
        <w:gridCol w:w="1684"/>
        <w:gridCol w:w="1684"/>
        <w:gridCol w:w="1684"/>
        <w:gridCol w:w="1682"/>
      </w:tblGrid>
      <w:tr w:rsidR="00CF004A" w:rsidRPr="00055D9B" w14:paraId="0D882290" w14:textId="77777777" w:rsidTr="00471225">
        <w:trPr>
          <w:trHeight w:val="227"/>
        </w:trPr>
        <w:tc>
          <w:tcPr>
            <w:tcW w:w="1397"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5AA4A6A"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Численность населения, тыс. жителей</w:t>
            </w:r>
          </w:p>
        </w:tc>
        <w:tc>
          <w:tcPr>
            <w:tcW w:w="901" w:type="pct"/>
            <w:tcBorders>
              <w:top w:val="single" w:sz="4" w:space="0" w:color="000000"/>
              <w:left w:val="nil"/>
              <w:bottom w:val="single" w:sz="4" w:space="0" w:color="000000"/>
              <w:right w:val="single" w:sz="4" w:space="0" w:color="000000"/>
            </w:tcBorders>
            <w:shd w:val="clear" w:color="000000" w:fill="FFFFFF"/>
            <w:vAlign w:val="center"/>
            <w:hideMark/>
          </w:tcPr>
          <w:p w14:paraId="30F58F5D"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Пыль</w:t>
            </w:r>
          </w:p>
        </w:tc>
        <w:tc>
          <w:tcPr>
            <w:tcW w:w="901" w:type="pct"/>
            <w:tcBorders>
              <w:top w:val="single" w:sz="4" w:space="0" w:color="000000"/>
              <w:left w:val="nil"/>
              <w:bottom w:val="single" w:sz="4" w:space="0" w:color="000000"/>
              <w:right w:val="single" w:sz="4" w:space="0" w:color="000000"/>
            </w:tcBorders>
            <w:shd w:val="clear" w:color="000000" w:fill="FFFFFF"/>
            <w:vAlign w:val="center"/>
            <w:hideMark/>
          </w:tcPr>
          <w:p w14:paraId="5789A7DE"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Диоксид серы</w:t>
            </w:r>
          </w:p>
        </w:tc>
        <w:tc>
          <w:tcPr>
            <w:tcW w:w="901" w:type="pct"/>
            <w:tcBorders>
              <w:top w:val="single" w:sz="4" w:space="0" w:color="000000"/>
              <w:left w:val="nil"/>
              <w:bottom w:val="single" w:sz="4" w:space="0" w:color="000000"/>
              <w:right w:val="single" w:sz="4" w:space="0" w:color="000000"/>
            </w:tcBorders>
            <w:shd w:val="clear" w:color="000000" w:fill="FFFFFF"/>
            <w:vAlign w:val="center"/>
            <w:hideMark/>
          </w:tcPr>
          <w:p w14:paraId="56F9DB9E"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Диоксид азота</w:t>
            </w:r>
          </w:p>
        </w:tc>
        <w:tc>
          <w:tcPr>
            <w:tcW w:w="900" w:type="pct"/>
            <w:tcBorders>
              <w:top w:val="single" w:sz="4" w:space="0" w:color="000000"/>
              <w:left w:val="nil"/>
              <w:bottom w:val="single" w:sz="4" w:space="0" w:color="000000"/>
              <w:right w:val="single" w:sz="4" w:space="0" w:color="000000"/>
            </w:tcBorders>
            <w:shd w:val="clear" w:color="000000" w:fill="FFFFFF"/>
            <w:vAlign w:val="center"/>
            <w:hideMark/>
          </w:tcPr>
          <w:p w14:paraId="4A6B32C9"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Оксид углерода</w:t>
            </w:r>
          </w:p>
        </w:tc>
      </w:tr>
      <w:tr w:rsidR="00CF004A" w:rsidRPr="00055D9B" w14:paraId="1A6D0EFC" w14:textId="77777777" w:rsidTr="00471225">
        <w:trPr>
          <w:trHeight w:val="227"/>
        </w:trPr>
        <w:tc>
          <w:tcPr>
            <w:tcW w:w="1397" w:type="pct"/>
            <w:tcBorders>
              <w:top w:val="nil"/>
              <w:left w:val="single" w:sz="4" w:space="0" w:color="000000"/>
              <w:bottom w:val="single" w:sz="4" w:space="0" w:color="000000"/>
              <w:right w:val="single" w:sz="4" w:space="0" w:color="000000"/>
            </w:tcBorders>
            <w:shd w:val="clear" w:color="000000" w:fill="FFFFFF"/>
            <w:vAlign w:val="center"/>
            <w:hideMark/>
          </w:tcPr>
          <w:p w14:paraId="3AA2A41D" w14:textId="77777777" w:rsidR="00CF004A" w:rsidRPr="00055D9B" w:rsidRDefault="00CF004A" w:rsidP="00471225">
            <w:pPr>
              <w:rPr>
                <w:rFonts w:ascii="Times New Roman" w:hAnsi="Times New Roman" w:cs="Times New Roman"/>
                <w:color w:val="333333"/>
                <w:sz w:val="20"/>
                <w:szCs w:val="20"/>
              </w:rPr>
            </w:pPr>
            <w:r w:rsidRPr="00055D9B">
              <w:rPr>
                <w:rFonts w:ascii="Times New Roman" w:hAnsi="Times New Roman" w:cs="Times New Roman"/>
                <w:color w:val="333333"/>
                <w:sz w:val="20"/>
                <w:szCs w:val="20"/>
              </w:rPr>
              <w:t>250 - 125</w:t>
            </w:r>
          </w:p>
        </w:tc>
        <w:tc>
          <w:tcPr>
            <w:tcW w:w="901" w:type="pct"/>
            <w:tcBorders>
              <w:top w:val="nil"/>
              <w:left w:val="nil"/>
              <w:bottom w:val="single" w:sz="4" w:space="0" w:color="000000"/>
              <w:right w:val="single" w:sz="4" w:space="0" w:color="000000"/>
            </w:tcBorders>
            <w:shd w:val="clear" w:color="000000" w:fill="FFFFFF"/>
            <w:vAlign w:val="center"/>
            <w:hideMark/>
          </w:tcPr>
          <w:p w14:paraId="0C7EB00D"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0,4</w:t>
            </w:r>
          </w:p>
        </w:tc>
        <w:tc>
          <w:tcPr>
            <w:tcW w:w="901" w:type="pct"/>
            <w:tcBorders>
              <w:top w:val="nil"/>
              <w:left w:val="nil"/>
              <w:bottom w:val="single" w:sz="4" w:space="0" w:color="000000"/>
              <w:right w:val="single" w:sz="4" w:space="0" w:color="000000"/>
            </w:tcBorders>
            <w:shd w:val="clear" w:color="000000" w:fill="FFFFFF"/>
            <w:vAlign w:val="center"/>
            <w:hideMark/>
          </w:tcPr>
          <w:p w14:paraId="73348915"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0,05</w:t>
            </w:r>
          </w:p>
        </w:tc>
        <w:tc>
          <w:tcPr>
            <w:tcW w:w="901" w:type="pct"/>
            <w:tcBorders>
              <w:top w:val="nil"/>
              <w:left w:val="nil"/>
              <w:bottom w:val="single" w:sz="4" w:space="0" w:color="000000"/>
              <w:right w:val="single" w:sz="4" w:space="0" w:color="000000"/>
            </w:tcBorders>
            <w:shd w:val="clear" w:color="000000" w:fill="FFFFFF"/>
            <w:vAlign w:val="center"/>
            <w:hideMark/>
          </w:tcPr>
          <w:p w14:paraId="417BEAD5"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0,03</w:t>
            </w:r>
          </w:p>
        </w:tc>
        <w:tc>
          <w:tcPr>
            <w:tcW w:w="900" w:type="pct"/>
            <w:tcBorders>
              <w:top w:val="nil"/>
              <w:left w:val="nil"/>
              <w:bottom w:val="single" w:sz="4" w:space="0" w:color="000000"/>
              <w:right w:val="single" w:sz="4" w:space="0" w:color="000000"/>
            </w:tcBorders>
            <w:shd w:val="clear" w:color="000000" w:fill="FFFFFF"/>
            <w:vAlign w:val="center"/>
            <w:hideMark/>
          </w:tcPr>
          <w:p w14:paraId="49ECBF20"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1,5</w:t>
            </w:r>
          </w:p>
        </w:tc>
      </w:tr>
      <w:tr w:rsidR="00CF004A" w:rsidRPr="00055D9B" w14:paraId="6539D94D" w14:textId="77777777" w:rsidTr="00471225">
        <w:trPr>
          <w:trHeight w:val="227"/>
        </w:trPr>
        <w:tc>
          <w:tcPr>
            <w:tcW w:w="1397" w:type="pct"/>
            <w:tcBorders>
              <w:top w:val="nil"/>
              <w:left w:val="single" w:sz="4" w:space="0" w:color="000000"/>
              <w:bottom w:val="single" w:sz="4" w:space="0" w:color="000000"/>
              <w:right w:val="single" w:sz="4" w:space="0" w:color="000000"/>
            </w:tcBorders>
            <w:shd w:val="clear" w:color="000000" w:fill="FFFFFF"/>
            <w:vAlign w:val="center"/>
            <w:hideMark/>
          </w:tcPr>
          <w:p w14:paraId="64E4A3A6" w14:textId="77777777" w:rsidR="00CF004A" w:rsidRPr="00055D9B" w:rsidRDefault="00CF004A" w:rsidP="00471225">
            <w:pPr>
              <w:rPr>
                <w:rFonts w:ascii="Times New Roman" w:hAnsi="Times New Roman" w:cs="Times New Roman"/>
                <w:color w:val="333333"/>
                <w:sz w:val="20"/>
                <w:szCs w:val="20"/>
              </w:rPr>
            </w:pPr>
            <w:r w:rsidRPr="00055D9B">
              <w:rPr>
                <w:rFonts w:ascii="Times New Roman" w:hAnsi="Times New Roman" w:cs="Times New Roman"/>
                <w:color w:val="333333"/>
                <w:sz w:val="20"/>
                <w:szCs w:val="20"/>
              </w:rPr>
              <w:t>125 - 50</w:t>
            </w:r>
          </w:p>
        </w:tc>
        <w:tc>
          <w:tcPr>
            <w:tcW w:w="901" w:type="pct"/>
            <w:tcBorders>
              <w:top w:val="nil"/>
              <w:left w:val="nil"/>
              <w:bottom w:val="single" w:sz="4" w:space="0" w:color="000000"/>
              <w:right w:val="single" w:sz="4" w:space="0" w:color="000000"/>
            </w:tcBorders>
            <w:shd w:val="clear" w:color="000000" w:fill="FFFFFF"/>
            <w:vAlign w:val="center"/>
            <w:hideMark/>
          </w:tcPr>
          <w:p w14:paraId="326709CC"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0,3</w:t>
            </w:r>
          </w:p>
        </w:tc>
        <w:tc>
          <w:tcPr>
            <w:tcW w:w="901" w:type="pct"/>
            <w:tcBorders>
              <w:top w:val="nil"/>
              <w:left w:val="nil"/>
              <w:bottom w:val="single" w:sz="4" w:space="0" w:color="000000"/>
              <w:right w:val="single" w:sz="4" w:space="0" w:color="000000"/>
            </w:tcBorders>
            <w:shd w:val="clear" w:color="000000" w:fill="FFFFFF"/>
            <w:vAlign w:val="center"/>
            <w:hideMark/>
          </w:tcPr>
          <w:p w14:paraId="35EF9F91"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0,05</w:t>
            </w:r>
          </w:p>
        </w:tc>
        <w:tc>
          <w:tcPr>
            <w:tcW w:w="901" w:type="pct"/>
            <w:tcBorders>
              <w:top w:val="nil"/>
              <w:left w:val="nil"/>
              <w:bottom w:val="single" w:sz="4" w:space="0" w:color="000000"/>
              <w:right w:val="single" w:sz="4" w:space="0" w:color="000000"/>
            </w:tcBorders>
            <w:shd w:val="clear" w:color="000000" w:fill="FFFFFF"/>
            <w:vAlign w:val="center"/>
            <w:hideMark/>
          </w:tcPr>
          <w:p w14:paraId="44C949F4"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0,015</w:t>
            </w:r>
          </w:p>
        </w:tc>
        <w:tc>
          <w:tcPr>
            <w:tcW w:w="900" w:type="pct"/>
            <w:tcBorders>
              <w:top w:val="nil"/>
              <w:left w:val="nil"/>
              <w:bottom w:val="single" w:sz="4" w:space="0" w:color="000000"/>
              <w:right w:val="single" w:sz="4" w:space="0" w:color="000000"/>
            </w:tcBorders>
            <w:shd w:val="clear" w:color="000000" w:fill="FFFFFF"/>
            <w:vAlign w:val="center"/>
            <w:hideMark/>
          </w:tcPr>
          <w:p w14:paraId="7926EC08"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0,8</w:t>
            </w:r>
          </w:p>
        </w:tc>
      </w:tr>
      <w:tr w:rsidR="00CF004A" w:rsidRPr="00055D9B" w14:paraId="48505570" w14:textId="77777777" w:rsidTr="00471225">
        <w:trPr>
          <w:trHeight w:val="227"/>
        </w:trPr>
        <w:tc>
          <w:tcPr>
            <w:tcW w:w="1397" w:type="pct"/>
            <w:tcBorders>
              <w:top w:val="nil"/>
              <w:left w:val="single" w:sz="4" w:space="0" w:color="000000"/>
              <w:bottom w:val="single" w:sz="4" w:space="0" w:color="000000"/>
              <w:right w:val="single" w:sz="4" w:space="0" w:color="000000"/>
            </w:tcBorders>
            <w:shd w:val="clear" w:color="000000" w:fill="FFFFFF"/>
            <w:vAlign w:val="center"/>
            <w:hideMark/>
          </w:tcPr>
          <w:p w14:paraId="77525C79" w14:textId="77777777" w:rsidR="00CF004A" w:rsidRPr="00055D9B" w:rsidRDefault="00CF004A" w:rsidP="00471225">
            <w:pPr>
              <w:rPr>
                <w:rFonts w:ascii="Times New Roman" w:hAnsi="Times New Roman" w:cs="Times New Roman"/>
                <w:color w:val="333333"/>
                <w:sz w:val="20"/>
                <w:szCs w:val="20"/>
              </w:rPr>
            </w:pPr>
            <w:r w:rsidRPr="00055D9B">
              <w:rPr>
                <w:rFonts w:ascii="Times New Roman" w:hAnsi="Times New Roman" w:cs="Times New Roman"/>
                <w:color w:val="333333"/>
                <w:sz w:val="20"/>
                <w:szCs w:val="20"/>
              </w:rPr>
              <w:t>50 - 10</w:t>
            </w:r>
          </w:p>
        </w:tc>
        <w:tc>
          <w:tcPr>
            <w:tcW w:w="901" w:type="pct"/>
            <w:tcBorders>
              <w:top w:val="nil"/>
              <w:left w:val="nil"/>
              <w:bottom w:val="single" w:sz="4" w:space="0" w:color="000000"/>
              <w:right w:val="single" w:sz="4" w:space="0" w:color="000000"/>
            </w:tcBorders>
            <w:shd w:val="clear" w:color="000000" w:fill="FFFFFF"/>
            <w:vAlign w:val="center"/>
            <w:hideMark/>
          </w:tcPr>
          <w:p w14:paraId="2DB297AD"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0,2</w:t>
            </w:r>
          </w:p>
        </w:tc>
        <w:tc>
          <w:tcPr>
            <w:tcW w:w="901" w:type="pct"/>
            <w:tcBorders>
              <w:top w:val="nil"/>
              <w:left w:val="nil"/>
              <w:bottom w:val="single" w:sz="4" w:space="0" w:color="000000"/>
              <w:right w:val="single" w:sz="4" w:space="0" w:color="000000"/>
            </w:tcBorders>
            <w:shd w:val="clear" w:color="000000" w:fill="FFFFFF"/>
            <w:vAlign w:val="center"/>
            <w:hideMark/>
          </w:tcPr>
          <w:p w14:paraId="37719C4B"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0,02</w:t>
            </w:r>
          </w:p>
        </w:tc>
        <w:tc>
          <w:tcPr>
            <w:tcW w:w="901" w:type="pct"/>
            <w:tcBorders>
              <w:top w:val="nil"/>
              <w:left w:val="nil"/>
              <w:bottom w:val="single" w:sz="4" w:space="0" w:color="000000"/>
              <w:right w:val="single" w:sz="4" w:space="0" w:color="000000"/>
            </w:tcBorders>
            <w:shd w:val="clear" w:color="000000" w:fill="FFFFFF"/>
            <w:vAlign w:val="center"/>
            <w:hideMark/>
          </w:tcPr>
          <w:p w14:paraId="1C85B7EC"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0,008</w:t>
            </w:r>
          </w:p>
        </w:tc>
        <w:tc>
          <w:tcPr>
            <w:tcW w:w="900" w:type="pct"/>
            <w:tcBorders>
              <w:top w:val="nil"/>
              <w:left w:val="nil"/>
              <w:bottom w:val="single" w:sz="4" w:space="0" w:color="000000"/>
              <w:right w:val="single" w:sz="4" w:space="0" w:color="000000"/>
            </w:tcBorders>
            <w:shd w:val="clear" w:color="000000" w:fill="FFFFFF"/>
            <w:vAlign w:val="center"/>
            <w:hideMark/>
          </w:tcPr>
          <w:p w14:paraId="50EDA7EF"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0,4</w:t>
            </w:r>
          </w:p>
        </w:tc>
      </w:tr>
      <w:tr w:rsidR="00CF004A" w:rsidRPr="00055D9B" w14:paraId="09594563" w14:textId="77777777" w:rsidTr="00471225">
        <w:trPr>
          <w:trHeight w:val="227"/>
        </w:trPr>
        <w:tc>
          <w:tcPr>
            <w:tcW w:w="1397" w:type="pct"/>
            <w:tcBorders>
              <w:top w:val="nil"/>
              <w:left w:val="single" w:sz="4" w:space="0" w:color="000000"/>
              <w:bottom w:val="single" w:sz="4" w:space="0" w:color="000000"/>
              <w:right w:val="single" w:sz="4" w:space="0" w:color="000000"/>
            </w:tcBorders>
            <w:shd w:val="clear" w:color="000000" w:fill="FFFFFF"/>
            <w:vAlign w:val="center"/>
            <w:hideMark/>
          </w:tcPr>
          <w:p w14:paraId="4CEA8CD1" w14:textId="77777777" w:rsidR="00CF004A" w:rsidRPr="00055D9B" w:rsidRDefault="00CF004A" w:rsidP="00471225">
            <w:pPr>
              <w:rPr>
                <w:rFonts w:ascii="Times New Roman" w:hAnsi="Times New Roman" w:cs="Times New Roman"/>
                <w:color w:val="333333"/>
                <w:sz w:val="20"/>
                <w:szCs w:val="20"/>
              </w:rPr>
            </w:pPr>
            <w:r w:rsidRPr="00055D9B">
              <w:rPr>
                <w:rFonts w:ascii="Times New Roman" w:hAnsi="Times New Roman" w:cs="Times New Roman"/>
                <w:color w:val="333333"/>
                <w:sz w:val="20"/>
                <w:szCs w:val="20"/>
              </w:rPr>
              <w:t>Менее 10</w:t>
            </w:r>
          </w:p>
        </w:tc>
        <w:tc>
          <w:tcPr>
            <w:tcW w:w="901" w:type="pct"/>
            <w:tcBorders>
              <w:top w:val="nil"/>
              <w:left w:val="nil"/>
              <w:bottom w:val="single" w:sz="4" w:space="0" w:color="000000"/>
              <w:right w:val="single" w:sz="4" w:space="0" w:color="000000"/>
            </w:tcBorders>
            <w:shd w:val="clear" w:color="000000" w:fill="FFFFFF"/>
            <w:vAlign w:val="center"/>
            <w:hideMark/>
          </w:tcPr>
          <w:p w14:paraId="5D2913AD"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c>
          <w:tcPr>
            <w:tcW w:w="901" w:type="pct"/>
            <w:tcBorders>
              <w:top w:val="nil"/>
              <w:left w:val="nil"/>
              <w:bottom w:val="single" w:sz="4" w:space="0" w:color="000000"/>
              <w:right w:val="single" w:sz="4" w:space="0" w:color="000000"/>
            </w:tcBorders>
            <w:shd w:val="clear" w:color="000000" w:fill="FFFFFF"/>
            <w:vAlign w:val="center"/>
            <w:hideMark/>
          </w:tcPr>
          <w:p w14:paraId="0BE4C751"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c>
          <w:tcPr>
            <w:tcW w:w="901" w:type="pct"/>
            <w:tcBorders>
              <w:top w:val="nil"/>
              <w:left w:val="nil"/>
              <w:bottom w:val="single" w:sz="4" w:space="0" w:color="000000"/>
              <w:right w:val="single" w:sz="4" w:space="0" w:color="000000"/>
            </w:tcBorders>
            <w:shd w:val="clear" w:color="000000" w:fill="FFFFFF"/>
            <w:vAlign w:val="center"/>
            <w:hideMark/>
          </w:tcPr>
          <w:p w14:paraId="62BF1E61"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c>
          <w:tcPr>
            <w:tcW w:w="900" w:type="pct"/>
            <w:tcBorders>
              <w:top w:val="nil"/>
              <w:left w:val="nil"/>
              <w:bottom w:val="single" w:sz="4" w:space="0" w:color="000000"/>
              <w:right w:val="single" w:sz="4" w:space="0" w:color="000000"/>
            </w:tcBorders>
            <w:shd w:val="clear" w:color="000000" w:fill="FFFFFF"/>
            <w:vAlign w:val="center"/>
            <w:hideMark/>
          </w:tcPr>
          <w:p w14:paraId="58FD52AB"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r>
    </w:tbl>
    <w:p w14:paraId="40C7A395" w14:textId="77777777" w:rsidR="00CF004A" w:rsidRPr="00055D9B" w:rsidRDefault="00CF004A" w:rsidP="00CF004A">
      <w:pPr>
        <w:pStyle w:val="21"/>
      </w:pPr>
      <w:r w:rsidRPr="00055D9B">
        <w:t>Ближайшим населенным пунктом является станция Акжайдак, которая расположена расстоянии 15,8 км к юго-западу от ЗИФ «Долинное».</w:t>
      </w:r>
    </w:p>
    <w:p w14:paraId="45DB62F2" w14:textId="77777777" w:rsidR="00CF004A" w:rsidRPr="00055D9B" w:rsidRDefault="00CF004A" w:rsidP="00CF004A">
      <w:pPr>
        <w:pStyle w:val="21"/>
      </w:pPr>
      <w:r w:rsidRPr="00055D9B">
        <w:t>На сегодняшний день население составляет 206 человек и относятся к депопуляционным населенным пунктом.</w:t>
      </w:r>
    </w:p>
    <w:p w14:paraId="0C6FB343" w14:textId="77777777" w:rsidR="00CF004A" w:rsidRPr="00055D9B" w:rsidRDefault="00CF004A" w:rsidP="00CF004A">
      <w:pPr>
        <w:pStyle w:val="21"/>
      </w:pPr>
      <w:r w:rsidRPr="00055D9B">
        <w:t>Таким образом ориентировочные фоновой концентрации примесей (мг/м</w:t>
      </w:r>
      <w:r w:rsidRPr="00055D9B">
        <w:rPr>
          <w:vertAlign w:val="superscript"/>
        </w:rPr>
        <w:t>3</w:t>
      </w:r>
      <w:r w:rsidRPr="00055D9B">
        <w:t xml:space="preserve">) приведены в таблице 8.3. </w:t>
      </w:r>
    </w:p>
    <w:p w14:paraId="343CC08C" w14:textId="77777777" w:rsidR="00CF004A" w:rsidRPr="00055D9B" w:rsidRDefault="00CF004A" w:rsidP="00CF004A">
      <w:pPr>
        <w:pStyle w:val="21"/>
      </w:pPr>
    </w:p>
    <w:p w14:paraId="19B37EF9" w14:textId="77777777" w:rsidR="00CF004A" w:rsidRPr="00055D9B" w:rsidRDefault="00CF004A" w:rsidP="00CF004A">
      <w:pPr>
        <w:pStyle w:val="a9"/>
        <w:rPr>
          <w:rFonts w:ascii="Times New Roman" w:hAnsi="Times New Roman"/>
          <w:szCs w:val="28"/>
        </w:rPr>
      </w:pPr>
      <w:bookmarkStart w:id="6" w:name="_Toc179144151"/>
      <w:r w:rsidRPr="00055D9B">
        <w:rPr>
          <w:rFonts w:ascii="Times New Roman" w:hAnsi="Times New Roman"/>
        </w:rPr>
        <w:t xml:space="preserve">Таблица </w:t>
      </w:r>
      <w:r w:rsidRPr="00055D9B">
        <w:rPr>
          <w:rFonts w:ascii="Times New Roman" w:hAnsi="Times New Roman"/>
        </w:rPr>
        <w:fldChar w:fldCharType="begin"/>
      </w:r>
      <w:r w:rsidRPr="00055D9B">
        <w:rPr>
          <w:rFonts w:ascii="Times New Roman" w:hAnsi="Times New Roman"/>
        </w:rPr>
        <w:instrText xml:space="preserve"> STYLEREF 1 \s </w:instrText>
      </w:r>
      <w:r w:rsidRPr="00055D9B">
        <w:rPr>
          <w:rFonts w:ascii="Times New Roman" w:hAnsi="Times New Roman"/>
        </w:rPr>
        <w:fldChar w:fldCharType="separate"/>
      </w:r>
      <w:r w:rsidRPr="00055D9B">
        <w:rPr>
          <w:rFonts w:ascii="Times New Roman" w:hAnsi="Times New Roman"/>
          <w:noProof/>
        </w:rPr>
        <w:t>8</w:t>
      </w:r>
      <w:r w:rsidRPr="00055D9B">
        <w:rPr>
          <w:rFonts w:ascii="Times New Roman" w:hAnsi="Times New Roman"/>
          <w:noProof/>
        </w:rPr>
        <w:fldChar w:fldCharType="end"/>
      </w:r>
      <w:r w:rsidRPr="00055D9B">
        <w:rPr>
          <w:rFonts w:ascii="Times New Roman" w:hAnsi="Times New Roman"/>
        </w:rPr>
        <w:t>.</w:t>
      </w:r>
      <w:r w:rsidRPr="00055D9B">
        <w:rPr>
          <w:rFonts w:ascii="Times New Roman" w:hAnsi="Times New Roman"/>
        </w:rPr>
        <w:fldChar w:fldCharType="begin"/>
      </w:r>
      <w:r w:rsidRPr="00055D9B">
        <w:rPr>
          <w:rFonts w:ascii="Times New Roman" w:hAnsi="Times New Roman"/>
        </w:rPr>
        <w:instrText xml:space="preserve"> SEQ Таблица \* ARABIC \s 1 </w:instrText>
      </w:r>
      <w:r w:rsidRPr="00055D9B">
        <w:rPr>
          <w:rFonts w:ascii="Times New Roman" w:hAnsi="Times New Roman"/>
        </w:rPr>
        <w:fldChar w:fldCharType="separate"/>
      </w:r>
      <w:r w:rsidRPr="00055D9B">
        <w:rPr>
          <w:rFonts w:ascii="Times New Roman" w:hAnsi="Times New Roman"/>
          <w:noProof/>
        </w:rPr>
        <w:t>3</w:t>
      </w:r>
      <w:r w:rsidRPr="00055D9B">
        <w:rPr>
          <w:rFonts w:ascii="Times New Roman" w:hAnsi="Times New Roman"/>
          <w:noProof/>
        </w:rPr>
        <w:fldChar w:fldCharType="end"/>
      </w:r>
      <w:r w:rsidRPr="00055D9B">
        <w:rPr>
          <w:rFonts w:ascii="Times New Roman" w:hAnsi="Times New Roman"/>
        </w:rPr>
        <w:t xml:space="preserve"> Фоновой концентрации примесей (мг/м</w:t>
      </w:r>
      <w:r w:rsidRPr="00055D9B">
        <w:rPr>
          <w:rFonts w:ascii="Times New Roman" w:hAnsi="Times New Roman"/>
          <w:vertAlign w:val="superscript"/>
        </w:rPr>
        <w:t>3</w:t>
      </w:r>
      <w:r w:rsidRPr="00055D9B">
        <w:rPr>
          <w:rFonts w:ascii="Times New Roman" w:hAnsi="Times New Roman"/>
        </w:rPr>
        <w:t>) составляет</w:t>
      </w:r>
      <w:bookmarkEnd w:id="6"/>
      <w:r w:rsidRPr="00055D9B">
        <w:rPr>
          <w:rFonts w:ascii="Times New Roman" w:hAnsi="Times New Roman"/>
        </w:rPr>
        <w:t xml:space="preserve"> </w:t>
      </w:r>
    </w:p>
    <w:tbl>
      <w:tblPr>
        <w:tblW w:w="5000" w:type="pct"/>
        <w:tblLook w:val="04A0" w:firstRow="1" w:lastRow="0" w:firstColumn="1" w:lastColumn="0" w:noHBand="0" w:noVBand="1"/>
      </w:tblPr>
      <w:tblGrid>
        <w:gridCol w:w="2088"/>
        <w:gridCol w:w="2439"/>
        <w:gridCol w:w="1204"/>
        <w:gridCol w:w="1204"/>
        <w:gridCol w:w="1204"/>
        <w:gridCol w:w="1206"/>
      </w:tblGrid>
      <w:tr w:rsidR="00CF004A" w:rsidRPr="00055D9B" w14:paraId="5D4CB963" w14:textId="77777777" w:rsidTr="00471225">
        <w:trPr>
          <w:trHeight w:val="227"/>
        </w:trPr>
        <w:tc>
          <w:tcPr>
            <w:tcW w:w="1117" w:type="pct"/>
            <w:tcBorders>
              <w:top w:val="single" w:sz="4" w:space="0" w:color="000000"/>
              <w:left w:val="single" w:sz="4" w:space="0" w:color="000000"/>
              <w:bottom w:val="single" w:sz="4" w:space="0" w:color="000000"/>
              <w:right w:val="single" w:sz="4" w:space="0" w:color="auto"/>
            </w:tcBorders>
            <w:shd w:val="clear" w:color="000000" w:fill="FFFFFF"/>
            <w:vAlign w:val="center"/>
            <w:hideMark/>
          </w:tcPr>
          <w:p w14:paraId="161ACE35"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Наименование населенного пункта</w:t>
            </w:r>
          </w:p>
        </w:tc>
        <w:tc>
          <w:tcPr>
            <w:tcW w:w="1305" w:type="pct"/>
            <w:tcBorders>
              <w:top w:val="single" w:sz="4" w:space="0" w:color="000000"/>
              <w:left w:val="single" w:sz="4" w:space="0" w:color="auto"/>
              <w:bottom w:val="single" w:sz="4" w:space="0" w:color="000000"/>
              <w:right w:val="single" w:sz="4" w:space="0" w:color="000000"/>
            </w:tcBorders>
            <w:shd w:val="clear" w:color="000000" w:fill="FFFFFF"/>
            <w:vAlign w:val="center"/>
          </w:tcPr>
          <w:p w14:paraId="1D658020"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Численность населения, жителей</w:t>
            </w:r>
          </w:p>
        </w:tc>
        <w:tc>
          <w:tcPr>
            <w:tcW w:w="644" w:type="pct"/>
            <w:tcBorders>
              <w:top w:val="single" w:sz="4" w:space="0" w:color="000000"/>
              <w:left w:val="nil"/>
              <w:bottom w:val="single" w:sz="4" w:space="0" w:color="000000"/>
              <w:right w:val="single" w:sz="4" w:space="0" w:color="000000"/>
            </w:tcBorders>
            <w:shd w:val="clear" w:color="000000" w:fill="FFFFFF"/>
            <w:vAlign w:val="center"/>
            <w:hideMark/>
          </w:tcPr>
          <w:p w14:paraId="59F1204B"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Пыль</w:t>
            </w:r>
          </w:p>
        </w:tc>
        <w:tc>
          <w:tcPr>
            <w:tcW w:w="644" w:type="pct"/>
            <w:tcBorders>
              <w:top w:val="single" w:sz="4" w:space="0" w:color="000000"/>
              <w:left w:val="nil"/>
              <w:bottom w:val="single" w:sz="4" w:space="0" w:color="000000"/>
              <w:right w:val="single" w:sz="4" w:space="0" w:color="000000"/>
            </w:tcBorders>
            <w:shd w:val="clear" w:color="000000" w:fill="FFFFFF"/>
            <w:vAlign w:val="center"/>
            <w:hideMark/>
          </w:tcPr>
          <w:p w14:paraId="1270C0D4"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Диоксид серы</w:t>
            </w:r>
          </w:p>
        </w:tc>
        <w:tc>
          <w:tcPr>
            <w:tcW w:w="644" w:type="pct"/>
            <w:tcBorders>
              <w:top w:val="single" w:sz="4" w:space="0" w:color="000000"/>
              <w:left w:val="nil"/>
              <w:bottom w:val="single" w:sz="4" w:space="0" w:color="000000"/>
              <w:right w:val="single" w:sz="4" w:space="0" w:color="000000"/>
            </w:tcBorders>
            <w:shd w:val="clear" w:color="000000" w:fill="FFFFFF"/>
            <w:vAlign w:val="center"/>
            <w:hideMark/>
          </w:tcPr>
          <w:p w14:paraId="0AA247DB"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Диоксид азота</w:t>
            </w:r>
          </w:p>
        </w:tc>
        <w:tc>
          <w:tcPr>
            <w:tcW w:w="645" w:type="pct"/>
            <w:tcBorders>
              <w:top w:val="single" w:sz="4" w:space="0" w:color="000000"/>
              <w:left w:val="nil"/>
              <w:bottom w:val="single" w:sz="4" w:space="0" w:color="000000"/>
              <w:right w:val="single" w:sz="4" w:space="0" w:color="000000"/>
            </w:tcBorders>
            <w:shd w:val="clear" w:color="000000" w:fill="FFFFFF"/>
            <w:vAlign w:val="center"/>
            <w:hideMark/>
          </w:tcPr>
          <w:p w14:paraId="0EAB50F0"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Оксид углерода</w:t>
            </w:r>
          </w:p>
        </w:tc>
      </w:tr>
      <w:tr w:rsidR="00CF004A" w:rsidRPr="00055D9B" w14:paraId="610565CF" w14:textId="77777777" w:rsidTr="00471225">
        <w:trPr>
          <w:trHeight w:val="227"/>
        </w:trPr>
        <w:tc>
          <w:tcPr>
            <w:tcW w:w="1117" w:type="pct"/>
            <w:tcBorders>
              <w:top w:val="nil"/>
              <w:left w:val="single" w:sz="4" w:space="0" w:color="000000"/>
              <w:bottom w:val="single" w:sz="4" w:space="0" w:color="000000"/>
              <w:right w:val="single" w:sz="4" w:space="0" w:color="auto"/>
            </w:tcBorders>
            <w:shd w:val="clear" w:color="000000" w:fill="FFFFFF"/>
            <w:vAlign w:val="center"/>
            <w:hideMark/>
          </w:tcPr>
          <w:p w14:paraId="6370FFA0" w14:textId="77777777" w:rsidR="00CF004A" w:rsidRPr="00055D9B" w:rsidRDefault="00CF004A" w:rsidP="00471225">
            <w:pPr>
              <w:rPr>
                <w:rFonts w:ascii="Times New Roman" w:hAnsi="Times New Roman" w:cs="Times New Roman"/>
                <w:color w:val="333333"/>
                <w:sz w:val="20"/>
                <w:szCs w:val="20"/>
              </w:rPr>
            </w:pPr>
            <w:r w:rsidRPr="00055D9B">
              <w:rPr>
                <w:rFonts w:ascii="Times New Roman" w:hAnsi="Times New Roman" w:cs="Times New Roman"/>
                <w:sz w:val="20"/>
                <w:szCs w:val="20"/>
              </w:rPr>
              <w:t>Станция Акжайдак</w:t>
            </w:r>
          </w:p>
        </w:tc>
        <w:tc>
          <w:tcPr>
            <w:tcW w:w="1305" w:type="pct"/>
            <w:tcBorders>
              <w:top w:val="nil"/>
              <w:left w:val="single" w:sz="4" w:space="0" w:color="auto"/>
              <w:bottom w:val="single" w:sz="4" w:space="0" w:color="000000"/>
              <w:right w:val="single" w:sz="4" w:space="0" w:color="000000"/>
            </w:tcBorders>
            <w:shd w:val="clear" w:color="000000" w:fill="FFFFFF"/>
            <w:vAlign w:val="center"/>
          </w:tcPr>
          <w:p w14:paraId="010B9637" w14:textId="77777777" w:rsidR="00CF004A" w:rsidRPr="00055D9B" w:rsidRDefault="00CF004A" w:rsidP="00471225">
            <w:pPr>
              <w:jc w:val="center"/>
              <w:rPr>
                <w:rFonts w:ascii="Times New Roman" w:hAnsi="Times New Roman" w:cs="Times New Roman"/>
                <w:color w:val="333333"/>
                <w:sz w:val="20"/>
                <w:szCs w:val="20"/>
              </w:rPr>
            </w:pPr>
            <w:r w:rsidRPr="00055D9B">
              <w:rPr>
                <w:rStyle w:val="nowrap"/>
                <w:rFonts w:ascii="Times New Roman" w:hAnsi="Times New Roman" w:cs="Times New Roman"/>
                <w:color w:val="FF0000"/>
                <w:sz w:val="20"/>
                <w:szCs w:val="20"/>
              </w:rPr>
              <w:t>▼</w:t>
            </w:r>
            <w:r w:rsidRPr="00055D9B">
              <w:rPr>
                <w:rStyle w:val="nowrap"/>
                <w:rFonts w:ascii="Times New Roman" w:hAnsi="Times New Roman" w:cs="Times New Roman"/>
                <w:color w:val="202122"/>
                <w:sz w:val="20"/>
                <w:szCs w:val="20"/>
              </w:rPr>
              <w:t> 206 человек</w:t>
            </w:r>
          </w:p>
        </w:tc>
        <w:tc>
          <w:tcPr>
            <w:tcW w:w="644" w:type="pct"/>
            <w:tcBorders>
              <w:top w:val="nil"/>
              <w:left w:val="nil"/>
              <w:bottom w:val="single" w:sz="4" w:space="0" w:color="000000"/>
              <w:right w:val="single" w:sz="4" w:space="0" w:color="000000"/>
            </w:tcBorders>
            <w:shd w:val="clear" w:color="000000" w:fill="FFFFFF"/>
            <w:vAlign w:val="center"/>
            <w:hideMark/>
          </w:tcPr>
          <w:p w14:paraId="348E5D79"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c>
          <w:tcPr>
            <w:tcW w:w="644" w:type="pct"/>
            <w:tcBorders>
              <w:top w:val="nil"/>
              <w:left w:val="nil"/>
              <w:bottom w:val="single" w:sz="4" w:space="0" w:color="000000"/>
              <w:right w:val="single" w:sz="4" w:space="0" w:color="000000"/>
            </w:tcBorders>
            <w:shd w:val="clear" w:color="000000" w:fill="FFFFFF"/>
            <w:vAlign w:val="center"/>
            <w:hideMark/>
          </w:tcPr>
          <w:p w14:paraId="54A4CC37"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c>
          <w:tcPr>
            <w:tcW w:w="644" w:type="pct"/>
            <w:tcBorders>
              <w:top w:val="nil"/>
              <w:left w:val="nil"/>
              <w:bottom w:val="single" w:sz="4" w:space="0" w:color="000000"/>
              <w:right w:val="single" w:sz="4" w:space="0" w:color="000000"/>
            </w:tcBorders>
            <w:shd w:val="clear" w:color="000000" w:fill="FFFFFF"/>
            <w:vAlign w:val="center"/>
            <w:hideMark/>
          </w:tcPr>
          <w:p w14:paraId="513B367B"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c>
          <w:tcPr>
            <w:tcW w:w="645" w:type="pct"/>
            <w:tcBorders>
              <w:top w:val="nil"/>
              <w:left w:val="nil"/>
              <w:bottom w:val="single" w:sz="4" w:space="0" w:color="000000"/>
              <w:right w:val="single" w:sz="4" w:space="0" w:color="000000"/>
            </w:tcBorders>
            <w:shd w:val="clear" w:color="000000" w:fill="FFFFFF"/>
            <w:vAlign w:val="center"/>
            <w:hideMark/>
          </w:tcPr>
          <w:p w14:paraId="67A5DC68" w14:textId="77777777" w:rsidR="00CF004A" w:rsidRPr="00055D9B" w:rsidRDefault="00CF004A" w:rsidP="00471225">
            <w:pPr>
              <w:jc w:val="center"/>
              <w:rPr>
                <w:rFonts w:ascii="Times New Roman" w:hAnsi="Times New Roman" w:cs="Times New Roman"/>
                <w:color w:val="333333"/>
                <w:sz w:val="20"/>
                <w:szCs w:val="20"/>
              </w:rPr>
            </w:pPr>
            <w:r w:rsidRPr="00055D9B">
              <w:rPr>
                <w:rFonts w:ascii="Times New Roman" w:hAnsi="Times New Roman" w:cs="Times New Roman"/>
                <w:color w:val="333333"/>
                <w:sz w:val="20"/>
                <w:szCs w:val="20"/>
              </w:rPr>
              <w:t>0</w:t>
            </w:r>
          </w:p>
        </w:tc>
      </w:tr>
    </w:tbl>
    <w:p w14:paraId="271FA2D9" w14:textId="77777777" w:rsidR="00CF004A" w:rsidRPr="00055D9B" w:rsidRDefault="00CF004A" w:rsidP="00CF004A">
      <w:pPr>
        <w:pStyle w:val="Default"/>
      </w:pPr>
      <w:bookmarkStart w:id="7" w:name="_Hlk82437294"/>
      <w:r w:rsidRPr="00055D9B">
        <w:t xml:space="preserve">Расчет величин концентраций загрязняющих веществ в приземном слое атмосферы, проводился на расчетном прямоугольнике, санитарно-защитной зоне </w:t>
      </w:r>
      <w:r w:rsidRPr="00055D9B">
        <w:rPr>
          <w:lang w:val="kk-KZ"/>
        </w:rPr>
        <w:t>3</w:t>
      </w:r>
      <w:r w:rsidRPr="00055D9B">
        <w:t xml:space="preserve">000 м и на контрольных точках на границе СЗЗ по направлениям сторон света. </w:t>
      </w:r>
    </w:p>
    <w:p w14:paraId="03B720D9" w14:textId="77777777" w:rsidR="00CF004A" w:rsidRPr="00055D9B" w:rsidRDefault="00CF004A" w:rsidP="00CF004A">
      <w:pPr>
        <w:pStyle w:val="Default"/>
      </w:pPr>
      <w:r w:rsidRPr="00055D9B">
        <w:t>На жилой зоне расчет загрязнения атмосферы не проводился, так как ближайшая жилая зона расположена на расстоянии 15,8 км от крайнего источника загрязнения.</w:t>
      </w:r>
    </w:p>
    <w:bookmarkEnd w:id="7"/>
    <w:p w14:paraId="2373D949" w14:textId="77777777" w:rsidR="00CF004A" w:rsidRPr="00055D9B" w:rsidRDefault="00CF004A" w:rsidP="00CF004A">
      <w:pPr>
        <w:pStyle w:val="Default"/>
      </w:pPr>
      <w:r w:rsidRPr="00055D9B">
        <w:t>Расчеты загрязнения атмосферы проводились по максимально возможным выбросам вредных веществ, при максимальной загрузке технологического оборудования с учетом коэффициента одновременности работы оборудования. В качестве исходного периода рассматривается 2026 год (существующее положение); также выполнен расчет загрязнения с учетом всех планируемых мероприятий в период с 2026-2033 гг.</w:t>
      </w:r>
    </w:p>
    <w:p w14:paraId="2E637EB1" w14:textId="77777777" w:rsidR="00CF004A" w:rsidRPr="00055D9B" w:rsidRDefault="00CF004A" w:rsidP="00CF004A">
      <w:pPr>
        <w:pStyle w:val="Default"/>
      </w:pPr>
      <w:r w:rsidRPr="00055D9B">
        <w:lastRenderedPageBreak/>
        <w:t>Расчеты концентраций ЗВ были проведены для основного технологического оборудования на максимальный период режима работы предприятия, когда наблюдается наибольшая его нагрузка.</w:t>
      </w:r>
    </w:p>
    <w:p w14:paraId="3A00167B" w14:textId="77777777" w:rsidR="00CF004A" w:rsidRPr="00055D9B" w:rsidRDefault="00CF004A" w:rsidP="00CF004A">
      <w:pPr>
        <w:pStyle w:val="Default"/>
      </w:pPr>
      <w:r w:rsidRPr="00055D9B">
        <w:t>Расчеты рассеивания выбросов загрязняющих веществ произведены на период максимальных выбросов и от двигателей передвижных источников.</w:t>
      </w:r>
    </w:p>
    <w:p w14:paraId="306B3FC8" w14:textId="77777777" w:rsidR="00CF004A" w:rsidRPr="00055D9B" w:rsidRDefault="00CF004A" w:rsidP="00CF004A">
      <w:pPr>
        <w:ind w:firstLine="540"/>
        <w:rPr>
          <w:rFonts w:ascii="Times New Roman" w:hAnsi="Times New Roman" w:cs="Times New Roman"/>
          <w:szCs w:val="28"/>
        </w:rPr>
      </w:pPr>
      <w:bookmarkStart w:id="8" w:name="_Hlk174558262"/>
      <w:r w:rsidRPr="00055D9B">
        <w:rPr>
          <w:rFonts w:ascii="Times New Roman" w:hAnsi="Times New Roman" w:cs="Times New Roman"/>
          <w:szCs w:val="28"/>
        </w:rPr>
        <w:t>Расчёт максимальных приземных концентраций произведен</w:t>
      </w:r>
      <w:r w:rsidRPr="00055D9B">
        <w:rPr>
          <w:rFonts w:ascii="Times New Roman" w:eastAsia="TimesNewRoman" w:hAnsi="Times New Roman" w:cs="Times New Roman"/>
        </w:rPr>
        <w:t xml:space="preserve"> для 9 веществ из 20 выбрасываемых, в то числе по фоновым концентрациям загрязняющих веществ,</w:t>
      </w:r>
      <w:r w:rsidRPr="00055D9B">
        <w:rPr>
          <w:rFonts w:ascii="Times New Roman" w:hAnsi="Times New Roman" w:cs="Times New Roman"/>
        </w:rPr>
        <w:t xml:space="preserve"> </w:t>
      </w:r>
      <w:r w:rsidRPr="00055D9B">
        <w:rPr>
          <w:rFonts w:ascii="Times New Roman" w:hAnsi="Times New Roman" w:cs="Times New Roman"/>
          <w:szCs w:val="28"/>
        </w:rPr>
        <w:t>по остальным загрязняющим веществам нецелесообразен, так как См &lt;0.05 долей ПДК.</w:t>
      </w:r>
    </w:p>
    <w:p w14:paraId="1D7A9FFE" w14:textId="77777777" w:rsidR="00CF004A" w:rsidRPr="00055D9B" w:rsidRDefault="00CF004A" w:rsidP="00CF004A">
      <w:pPr>
        <w:pStyle w:val="Default"/>
      </w:pPr>
      <w:bookmarkStart w:id="9" w:name="_Hlk138255013"/>
      <w:r w:rsidRPr="00055D9B">
        <w:t>Расчёт максимальных приземных концентраций на период строительства не производился, так как эти источники являются краткосрочными и локальными, их воздействие ограничено и не приведёт к превышению допустимых нормативов.</w:t>
      </w:r>
    </w:p>
    <w:bookmarkEnd w:id="8"/>
    <w:p w14:paraId="04589FEE" w14:textId="77777777" w:rsidR="00CF004A" w:rsidRPr="00055D9B" w:rsidRDefault="00CF004A" w:rsidP="00CF004A">
      <w:pPr>
        <w:pStyle w:val="Default"/>
      </w:pPr>
      <w:r w:rsidRPr="00055D9B">
        <w:t>Результаты расчета величин приземных концентраций представлены в сводной таблице результатов расчётов рассеивания загрязняющих веществ.</w:t>
      </w:r>
      <w:bookmarkEnd w:id="9"/>
    </w:p>
    <w:bookmarkEnd w:id="3"/>
    <w:p w14:paraId="21974DCB" w14:textId="22808800" w:rsidR="00EA68B9" w:rsidRPr="0034139C" w:rsidRDefault="00EA68B9" w:rsidP="00CF004A">
      <w:pPr>
        <w:pStyle w:val="11"/>
        <w:rPr>
          <w:szCs w:val="24"/>
        </w:rPr>
      </w:pPr>
    </w:p>
    <w:sectPr w:rsidR="00EA68B9" w:rsidRPr="0034139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E247A" w14:textId="77777777" w:rsidR="00E873AA" w:rsidRDefault="00E873AA">
      <w:pPr>
        <w:spacing w:after="0" w:line="240" w:lineRule="auto"/>
      </w:pPr>
      <w:r>
        <w:separator/>
      </w:r>
    </w:p>
  </w:endnote>
  <w:endnote w:type="continuationSeparator" w:id="0">
    <w:p w14:paraId="2F40A502" w14:textId="77777777" w:rsidR="00E873AA" w:rsidRDefault="00E87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MT">
    <w:altName w:val="Yu Gothic UI"/>
    <w:panose1 w:val="00000000000000000000"/>
    <w:charset w:val="80"/>
    <w:family w:val="auto"/>
    <w:notTrueType/>
    <w:pitch w:val="default"/>
    <w:sig w:usb0="00000201" w:usb1="08070000" w:usb2="00000010" w:usb3="00000000" w:csb0="00020004"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TimesNewRoman">
    <w:altName w:val="Yu Gothic"/>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31AB2" w14:textId="77777777" w:rsidR="00E873AA" w:rsidRDefault="00E873AA">
      <w:pPr>
        <w:spacing w:after="0" w:line="240" w:lineRule="auto"/>
      </w:pPr>
      <w:r>
        <w:separator/>
      </w:r>
    </w:p>
  </w:footnote>
  <w:footnote w:type="continuationSeparator" w:id="0">
    <w:p w14:paraId="62C003A3" w14:textId="77777777" w:rsidR="00E873AA" w:rsidRDefault="00E87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31FE5" w14:textId="77777777" w:rsidR="00670B5F" w:rsidRDefault="00670B5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806631"/>
      <w:docPartObj>
        <w:docPartGallery w:val="Page Numbers (Top of Page)"/>
        <w:docPartUnique/>
      </w:docPartObj>
    </w:sdtPr>
    <w:sdtEndPr/>
    <w:sdtContent>
      <w:p w14:paraId="39C1198F" w14:textId="77777777" w:rsidR="00670B5F" w:rsidRDefault="00670B5F">
        <w:pPr>
          <w:pStyle w:val="af0"/>
          <w:jc w:val="center"/>
        </w:pPr>
        <w:r>
          <w:fldChar w:fldCharType="begin"/>
        </w:r>
        <w:r>
          <w:instrText>PAGE   \* MERGEFORMAT</w:instrText>
        </w:r>
        <w:r>
          <w:fldChar w:fldCharType="separate"/>
        </w:r>
        <w:r>
          <w:rPr>
            <w:noProof/>
          </w:rPr>
          <w:t>11</w:t>
        </w:r>
        <w:r>
          <w:fldChar w:fldCharType="end"/>
        </w:r>
      </w:p>
    </w:sdtContent>
  </w:sdt>
  <w:p w14:paraId="3FFE6867" w14:textId="77777777" w:rsidR="00670B5F" w:rsidRDefault="00670B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30E"/>
    <w:multiLevelType w:val="hybridMultilevel"/>
    <w:tmpl w:val="0B287DEA"/>
    <w:lvl w:ilvl="0" w:tplc="43741DA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3A7B432B"/>
    <w:multiLevelType w:val="hybridMultilevel"/>
    <w:tmpl w:val="7F0081C2"/>
    <w:lvl w:ilvl="0" w:tplc="8EA26CB4">
      <w:start w:val="1"/>
      <w:numFmt w:val="decimal"/>
      <w:lvlText w:val="Раздел %1."/>
      <w:lvlJc w:val="left"/>
      <w:pPr>
        <w:ind w:left="1287" w:hanging="360"/>
      </w:pPr>
      <w:rPr>
        <w:rFonts w:ascii="Garamond" w:hAnsi="Garamond" w:hint="default"/>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5E907656"/>
    <w:multiLevelType w:val="hybridMultilevel"/>
    <w:tmpl w:val="2F72B006"/>
    <w:lvl w:ilvl="0" w:tplc="43741DA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1DA"/>
    <w:rsid w:val="00040886"/>
    <w:rsid w:val="000521DA"/>
    <w:rsid w:val="00055D9B"/>
    <w:rsid w:val="0006534D"/>
    <w:rsid w:val="002C19AA"/>
    <w:rsid w:val="0034139C"/>
    <w:rsid w:val="00390CEB"/>
    <w:rsid w:val="0049692E"/>
    <w:rsid w:val="0066119F"/>
    <w:rsid w:val="00666A32"/>
    <w:rsid w:val="00670B5F"/>
    <w:rsid w:val="00691E9A"/>
    <w:rsid w:val="00773C24"/>
    <w:rsid w:val="007F09AF"/>
    <w:rsid w:val="0085273A"/>
    <w:rsid w:val="009716C4"/>
    <w:rsid w:val="009A4364"/>
    <w:rsid w:val="009A596A"/>
    <w:rsid w:val="009E0A46"/>
    <w:rsid w:val="009E44C5"/>
    <w:rsid w:val="00B34E30"/>
    <w:rsid w:val="00C1078D"/>
    <w:rsid w:val="00CF004A"/>
    <w:rsid w:val="00D06AEF"/>
    <w:rsid w:val="00DE42B1"/>
    <w:rsid w:val="00E873AA"/>
    <w:rsid w:val="00EA68B9"/>
    <w:rsid w:val="00F70A71"/>
    <w:rsid w:val="00F969B9"/>
    <w:rsid w:val="00FC7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34BD"/>
  <w15:chartTrackingRefBased/>
  <w15:docId w15:val="{C3BBD13C-856B-4F35-9721-CF72C640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A68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EA68B9"/>
    <w:pPr>
      <w:keepNext/>
      <w:spacing w:after="0" w:line="240" w:lineRule="auto"/>
      <w:jc w:val="center"/>
      <w:outlineLvl w:val="1"/>
    </w:pPr>
    <w:rPr>
      <w:rFonts w:ascii="Garamond" w:hAnsi="Garamond" w:cs="ArialMT"/>
      <w:b/>
      <w:bCs/>
      <w:i/>
      <w:iCs/>
      <w:color w:val="002060"/>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8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EA68B9"/>
    <w:rPr>
      <w:color w:val="0000FF"/>
      <w:u w:val="single"/>
    </w:rPr>
  </w:style>
  <w:style w:type="paragraph" w:styleId="a5">
    <w:name w:val="List Paragraph"/>
    <w:aliases w:val="Заголовок первого уровня,Citation List,Resume Title,List Paragraph Char Char,Bullet 1,List Paragraph1,b1,Number_1,SGLText List Paragraph,new,lp1,Normal Sentence,Colorful List - Accent 11,ListPar1,List Paragraph2,List Paragraph11,罗"/>
    <w:basedOn w:val="a"/>
    <w:link w:val="a6"/>
    <w:uiPriority w:val="34"/>
    <w:qFormat/>
    <w:rsid w:val="00EA68B9"/>
    <w:pPr>
      <w:spacing w:after="0" w:line="240" w:lineRule="auto"/>
      <w:ind w:firstLine="567"/>
      <w:jc w:val="both"/>
    </w:pPr>
    <w:rPr>
      <w:rFonts w:ascii="Times New Roman" w:eastAsia="Calibri" w:hAnsi="Times New Roman" w:cs="Times New Roman"/>
      <w:sz w:val="24"/>
    </w:rPr>
  </w:style>
  <w:style w:type="paragraph" w:customStyle="1" w:styleId="11">
    <w:name w:val="Абзац списка1"/>
    <w:basedOn w:val="a"/>
    <w:link w:val="ListParagraphChar2"/>
    <w:qFormat/>
    <w:rsid w:val="00EA68B9"/>
    <w:pPr>
      <w:spacing w:after="0" w:line="240" w:lineRule="auto"/>
      <w:ind w:firstLine="567"/>
      <w:jc w:val="both"/>
    </w:pPr>
    <w:rPr>
      <w:rFonts w:ascii="Times New Roman" w:eastAsia="Times New Roman" w:hAnsi="Times New Roman" w:cs="Times New Roman"/>
      <w:sz w:val="24"/>
    </w:rPr>
  </w:style>
  <w:style w:type="paragraph" w:customStyle="1" w:styleId="Default">
    <w:name w:val="Default"/>
    <w:qFormat/>
    <w:rsid w:val="00EA68B9"/>
    <w:pPr>
      <w:autoSpaceDE w:val="0"/>
      <w:autoSpaceDN w:val="0"/>
      <w:adjustRightInd w:val="0"/>
      <w:spacing w:after="0" w:line="240" w:lineRule="auto"/>
      <w:ind w:firstLine="567"/>
      <w:jc w:val="both"/>
    </w:pPr>
    <w:rPr>
      <w:rFonts w:ascii="Times New Roman" w:hAnsi="Times New Roman" w:cs="Times New Roman"/>
      <w:color w:val="000000"/>
      <w:sz w:val="24"/>
      <w:szCs w:val="24"/>
    </w:rPr>
  </w:style>
  <w:style w:type="paragraph" w:customStyle="1" w:styleId="a7">
    <w:name w:val="Обычный КГНТ"/>
    <w:basedOn w:val="a"/>
    <w:link w:val="a8"/>
    <w:qFormat/>
    <w:rsid w:val="00EA68B9"/>
    <w:pPr>
      <w:spacing w:after="0" w:line="240" w:lineRule="auto"/>
      <w:ind w:right="170" w:firstLine="567"/>
      <w:jc w:val="both"/>
    </w:pPr>
    <w:rPr>
      <w:rFonts w:ascii="Times New Roman" w:eastAsia="Times New Roman" w:hAnsi="Times New Roman" w:cs="Times New Roman"/>
      <w:sz w:val="24"/>
      <w:szCs w:val="24"/>
      <w:lang w:val="x-none" w:eastAsia="x-none"/>
    </w:rPr>
  </w:style>
  <w:style w:type="character" w:customStyle="1" w:styleId="a8">
    <w:name w:val="Обычный КГНТ Знак"/>
    <w:link w:val="a7"/>
    <w:rsid w:val="00EA68B9"/>
    <w:rPr>
      <w:rFonts w:ascii="Times New Roman" w:eastAsia="Times New Roman" w:hAnsi="Times New Roman" w:cs="Times New Roman"/>
      <w:sz w:val="24"/>
      <w:szCs w:val="24"/>
      <w:lang w:val="x-none" w:eastAsia="x-none"/>
    </w:rPr>
  </w:style>
  <w:style w:type="paragraph" w:customStyle="1" w:styleId="21">
    <w:name w:val="Абзац списка2"/>
    <w:basedOn w:val="a"/>
    <w:qFormat/>
    <w:rsid w:val="00EA68B9"/>
    <w:pPr>
      <w:spacing w:after="0" w:line="240" w:lineRule="auto"/>
      <w:ind w:firstLine="567"/>
      <w:contextualSpacing/>
      <w:jc w:val="both"/>
    </w:pPr>
    <w:rPr>
      <w:rFonts w:ascii="Times New Roman" w:eastAsia="Times New Roman" w:hAnsi="Times New Roman" w:cs="Times New Roman"/>
      <w:sz w:val="24"/>
      <w:szCs w:val="24"/>
      <w:lang w:eastAsia="ru-RU"/>
    </w:rPr>
  </w:style>
  <w:style w:type="character" w:customStyle="1" w:styleId="a6">
    <w:name w:val="Абзац списка Знак"/>
    <w:aliases w:val="Заголовок первого уровня Знак,Citation List Знак,Resume Title Знак,List Paragraph Char Char Знак,Bullet 1 Знак,List Paragraph1 Знак,b1 Знак,Number_1 Знак,SGLText List Paragraph Знак,new Знак,lp1 Знак,Normal Sentence Знак,ListPar1 Знак"/>
    <w:link w:val="a5"/>
    <w:uiPriority w:val="34"/>
    <w:qFormat/>
    <w:locked/>
    <w:rsid w:val="00EA68B9"/>
    <w:rPr>
      <w:rFonts w:ascii="Times New Roman" w:eastAsia="Calibri" w:hAnsi="Times New Roman" w:cs="Times New Roman"/>
      <w:sz w:val="24"/>
    </w:rPr>
  </w:style>
  <w:style w:type="character" w:customStyle="1" w:styleId="ListParagraphChar2">
    <w:name w:val="List Paragraph Char2"/>
    <w:link w:val="11"/>
    <w:locked/>
    <w:rsid w:val="00EA68B9"/>
    <w:rPr>
      <w:rFonts w:ascii="Times New Roman" w:eastAsia="Times New Roman" w:hAnsi="Times New Roman" w:cs="Times New Roman"/>
      <w:sz w:val="24"/>
    </w:rPr>
  </w:style>
  <w:style w:type="paragraph" w:customStyle="1" w:styleId="12">
    <w:name w:val="Без интервала1"/>
    <w:link w:val="NoSpacingChar"/>
    <w:qFormat/>
    <w:rsid w:val="00EA68B9"/>
    <w:pPr>
      <w:spacing w:after="0" w:line="240" w:lineRule="auto"/>
      <w:ind w:firstLine="567"/>
      <w:jc w:val="both"/>
    </w:pPr>
    <w:rPr>
      <w:rFonts w:ascii="Times New Roman" w:eastAsia="Batang" w:hAnsi="Times New Roman" w:cs="Times New Roman"/>
      <w:sz w:val="24"/>
    </w:rPr>
  </w:style>
  <w:style w:type="character" w:customStyle="1" w:styleId="NoSpacingChar">
    <w:name w:val="No Spacing Char"/>
    <w:link w:val="12"/>
    <w:locked/>
    <w:rsid w:val="00EA68B9"/>
    <w:rPr>
      <w:rFonts w:ascii="Times New Roman" w:eastAsia="Batang" w:hAnsi="Times New Roman" w:cs="Times New Roman"/>
      <w:sz w:val="24"/>
    </w:rPr>
  </w:style>
  <w:style w:type="paragraph" w:customStyle="1" w:styleId="13">
    <w:name w:val="Заголовок1"/>
    <w:basedOn w:val="1"/>
    <w:qFormat/>
    <w:rsid w:val="00EA68B9"/>
    <w:pPr>
      <w:keepLines w:val="0"/>
      <w:spacing w:before="0" w:line="240" w:lineRule="auto"/>
      <w:ind w:firstLine="567"/>
      <w:jc w:val="both"/>
    </w:pPr>
    <w:rPr>
      <w:rFonts w:ascii="Times New Roman" w:eastAsia="Times New Roman" w:hAnsi="Times New Roman" w:cs="Times New Roman"/>
      <w:color w:val="auto"/>
      <w:lang w:eastAsia="ru-RU"/>
    </w:rPr>
  </w:style>
  <w:style w:type="character" w:customStyle="1" w:styleId="10">
    <w:name w:val="Заголовок 1 Знак"/>
    <w:basedOn w:val="a0"/>
    <w:link w:val="1"/>
    <w:rsid w:val="00EA68B9"/>
    <w:rPr>
      <w:rFonts w:asciiTheme="majorHAnsi" w:eastAsiaTheme="majorEastAsia" w:hAnsiTheme="majorHAnsi" w:cstheme="majorBidi"/>
      <w:color w:val="2F5496" w:themeColor="accent1" w:themeShade="BF"/>
      <w:sz w:val="32"/>
      <w:szCs w:val="32"/>
    </w:rPr>
  </w:style>
  <w:style w:type="paragraph" w:styleId="a9">
    <w:name w:val="caption"/>
    <w:aliases w:val="Шапка таблицы,CPR Caption,headings,Table Caption"/>
    <w:basedOn w:val="a"/>
    <w:next w:val="a"/>
    <w:link w:val="aa"/>
    <w:unhideWhenUsed/>
    <w:qFormat/>
    <w:rsid w:val="00EA68B9"/>
    <w:pPr>
      <w:spacing w:after="0" w:line="240" w:lineRule="auto"/>
      <w:jc w:val="center"/>
    </w:pPr>
    <w:rPr>
      <w:rFonts w:ascii="Garamond" w:eastAsia="Times New Roman" w:hAnsi="Garamond" w:cs="Times New Roman"/>
      <w:b/>
      <w:iCs/>
      <w:color w:val="000000" w:themeColor="text1"/>
      <w:sz w:val="24"/>
      <w:szCs w:val="18"/>
      <w:lang w:eastAsia="ru-RU"/>
    </w:rPr>
  </w:style>
  <w:style w:type="character" w:customStyle="1" w:styleId="aa">
    <w:name w:val="Название объекта Знак"/>
    <w:aliases w:val="Шапка таблицы Знак,CPR Caption Знак,headings Знак,Table Caption Знак"/>
    <w:link w:val="a9"/>
    <w:rsid w:val="00EA68B9"/>
    <w:rPr>
      <w:rFonts w:ascii="Garamond" w:eastAsia="Times New Roman" w:hAnsi="Garamond" w:cs="Times New Roman"/>
      <w:b/>
      <w:iCs/>
      <w:color w:val="000000" w:themeColor="text1"/>
      <w:sz w:val="24"/>
      <w:szCs w:val="18"/>
      <w:lang w:eastAsia="ru-RU"/>
    </w:rPr>
  </w:style>
  <w:style w:type="character" w:customStyle="1" w:styleId="20">
    <w:name w:val="Заголовок 2 Знак"/>
    <w:basedOn w:val="a0"/>
    <w:link w:val="2"/>
    <w:rsid w:val="00EA68B9"/>
    <w:rPr>
      <w:rFonts w:ascii="Garamond" w:hAnsi="Garamond" w:cs="ArialMT"/>
      <w:b/>
      <w:bCs/>
      <w:i/>
      <w:iCs/>
      <w:color w:val="002060"/>
      <w:sz w:val="24"/>
      <w:szCs w:val="28"/>
    </w:rPr>
  </w:style>
  <w:style w:type="paragraph" w:styleId="22">
    <w:name w:val="Body Text 2"/>
    <w:basedOn w:val="a"/>
    <w:link w:val="23"/>
    <w:rsid w:val="002C19AA"/>
    <w:pPr>
      <w:spacing w:after="0" w:line="24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2C19AA"/>
    <w:rPr>
      <w:rFonts w:ascii="Times New Roman" w:eastAsia="Times New Roman" w:hAnsi="Times New Roman" w:cs="Times New Roman"/>
      <w:sz w:val="24"/>
      <w:szCs w:val="24"/>
      <w:lang w:eastAsia="ru-RU"/>
    </w:rPr>
  </w:style>
  <w:style w:type="character" w:customStyle="1" w:styleId="ts4">
    <w:name w:val="ts4"/>
    <w:basedOn w:val="a0"/>
    <w:rsid w:val="00D06AEF"/>
  </w:style>
  <w:style w:type="character" w:customStyle="1" w:styleId="ab">
    <w:name w:val="Текст примечания Знак"/>
    <w:basedOn w:val="a0"/>
    <w:link w:val="ac"/>
    <w:locked/>
    <w:rsid w:val="00D06AEF"/>
    <w:rPr>
      <w:rFonts w:ascii="Garamond" w:hAnsi="Garamond"/>
    </w:rPr>
  </w:style>
  <w:style w:type="paragraph" w:styleId="ac">
    <w:name w:val="annotation text"/>
    <w:basedOn w:val="a"/>
    <w:link w:val="ab"/>
    <w:unhideWhenUsed/>
    <w:rsid w:val="00D06AEF"/>
    <w:pPr>
      <w:spacing w:after="0" w:line="240" w:lineRule="auto"/>
      <w:jc w:val="both"/>
    </w:pPr>
    <w:rPr>
      <w:rFonts w:ascii="Garamond" w:hAnsi="Garamond"/>
    </w:rPr>
  </w:style>
  <w:style w:type="character" w:customStyle="1" w:styleId="14">
    <w:name w:val="Текст примечания Знак1"/>
    <w:basedOn w:val="a0"/>
    <w:uiPriority w:val="99"/>
    <w:semiHidden/>
    <w:rsid w:val="00D06AEF"/>
    <w:rPr>
      <w:sz w:val="20"/>
      <w:szCs w:val="20"/>
    </w:rPr>
  </w:style>
  <w:style w:type="character" w:styleId="ad">
    <w:name w:val="annotation reference"/>
    <w:basedOn w:val="a0"/>
    <w:semiHidden/>
    <w:unhideWhenUsed/>
    <w:rsid w:val="00D06AEF"/>
    <w:rPr>
      <w:sz w:val="16"/>
      <w:szCs w:val="16"/>
    </w:rPr>
  </w:style>
  <w:style w:type="paragraph" w:styleId="ae">
    <w:name w:val="Balloon Text"/>
    <w:basedOn w:val="a"/>
    <w:link w:val="af"/>
    <w:uiPriority w:val="99"/>
    <w:semiHidden/>
    <w:unhideWhenUsed/>
    <w:rsid w:val="00D06AE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06AEF"/>
    <w:rPr>
      <w:rFonts w:ascii="Segoe UI" w:hAnsi="Segoe UI" w:cs="Segoe UI"/>
      <w:sz w:val="18"/>
      <w:szCs w:val="18"/>
    </w:rPr>
  </w:style>
  <w:style w:type="paragraph" w:styleId="af0">
    <w:name w:val="header"/>
    <w:basedOn w:val="a"/>
    <w:link w:val="af1"/>
    <w:uiPriority w:val="99"/>
    <w:rsid w:val="00670B5F"/>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uiPriority w:val="99"/>
    <w:rsid w:val="00670B5F"/>
    <w:rPr>
      <w:rFonts w:ascii="Times New Roman" w:eastAsia="Times New Roman" w:hAnsi="Times New Roman" w:cs="Times New Roman"/>
      <w:sz w:val="24"/>
      <w:szCs w:val="24"/>
      <w:lang w:eastAsia="ru-RU"/>
    </w:rPr>
  </w:style>
  <w:style w:type="character" w:customStyle="1" w:styleId="nowrap">
    <w:name w:val="nowrap"/>
    <w:basedOn w:val="a0"/>
    <w:rsid w:val="00CF0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646855">
      <w:bodyDiv w:val="1"/>
      <w:marLeft w:val="0"/>
      <w:marRight w:val="0"/>
      <w:marTop w:val="0"/>
      <w:marBottom w:val="0"/>
      <w:divBdr>
        <w:top w:val="none" w:sz="0" w:space="0" w:color="auto"/>
        <w:left w:val="none" w:sz="0" w:space="0" w:color="auto"/>
        <w:bottom w:val="none" w:sz="0" w:space="0" w:color="auto"/>
        <w:right w:val="none" w:sz="0" w:space="0" w:color="auto"/>
      </w:divBdr>
    </w:div>
    <w:div w:id="1131746503">
      <w:bodyDiv w:val="1"/>
      <w:marLeft w:val="0"/>
      <w:marRight w:val="0"/>
      <w:marTop w:val="0"/>
      <w:marBottom w:val="0"/>
      <w:divBdr>
        <w:top w:val="none" w:sz="0" w:space="0" w:color="auto"/>
        <w:left w:val="none" w:sz="0" w:space="0" w:color="auto"/>
        <w:bottom w:val="none" w:sz="0" w:space="0" w:color="auto"/>
        <w:right w:val="none" w:sz="0" w:space="0" w:color="auto"/>
      </w:divBdr>
    </w:div>
    <w:div w:id="1397241416">
      <w:bodyDiv w:val="1"/>
      <w:marLeft w:val="0"/>
      <w:marRight w:val="0"/>
      <w:marTop w:val="0"/>
      <w:marBottom w:val="0"/>
      <w:divBdr>
        <w:top w:val="none" w:sz="0" w:space="0" w:color="auto"/>
        <w:left w:val="none" w:sz="0" w:space="0" w:color="auto"/>
        <w:bottom w:val="none" w:sz="0" w:space="0" w:color="auto"/>
        <w:right w:val="none" w:sz="0" w:space="0" w:color="auto"/>
      </w:divBdr>
    </w:div>
    <w:div w:id="206185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916</Words>
  <Characters>5223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Бексұлтан Төлеубеков</dc:creator>
  <cp:keywords/>
  <dc:description/>
  <cp:lastModifiedBy>Турсунбаев Кайсар</cp:lastModifiedBy>
  <cp:revision>18</cp:revision>
  <cp:lastPrinted>2025-02-06T10:50:00Z</cp:lastPrinted>
  <dcterms:created xsi:type="dcterms:W3CDTF">2025-02-06T10:48:00Z</dcterms:created>
  <dcterms:modified xsi:type="dcterms:W3CDTF">2026-10-06T09:56:00Z</dcterms:modified>
</cp:coreProperties>
</file>