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29195" w14:textId="77777777" w:rsidR="00C47DB0" w:rsidRPr="008B01A0" w:rsidRDefault="00EC01F9" w:rsidP="008B01A0">
      <w:pPr>
        <w:pStyle w:val="aa"/>
        <w:spacing w:before="0"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Нетехническое резюме</w:t>
      </w:r>
    </w:p>
    <w:p w14:paraId="0F77E922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b/>
          <w:sz w:val="24"/>
          <w:szCs w:val="24"/>
        </w:rPr>
        <w:t>Строительство склада СДЯВ на территории ГОК «Пустынное»</w:t>
      </w:r>
    </w:p>
    <w:p w14:paraId="06377554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Инициатор — АО «АК Алтыналмас»</w:t>
      </w:r>
    </w:p>
    <w:p w14:paraId="189CBEEE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 xml:space="preserve">Резюме описывает назначение склада, ожидаемое влияние его строительства и эксплуатации на окружающую среду и меры безопасности. СДЯВ — </w:t>
      </w:r>
      <w:r w:rsidRPr="008B01A0">
        <w:rPr>
          <w:sz w:val="24"/>
          <w:szCs w:val="24"/>
        </w:rPr>
        <w:t>сильнодействующие ядовитые вещества; в данном проекте это химические реагенты, для хранения которых предусматривается отдельное здание.</w:t>
      </w:r>
    </w:p>
    <w:p w14:paraId="505578C4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Цель проекта и расположение</w:t>
      </w:r>
    </w:p>
    <w:p w14:paraId="7A06DBE7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Склад предназначен для организованного хранения реагентов, используемых на действующем горно</w:t>
      </w:r>
      <w:r w:rsidRPr="008B01A0">
        <w:rPr>
          <w:sz w:val="24"/>
          <w:szCs w:val="24"/>
        </w:rPr>
        <w:t>-обогатительном комбинате «Пустынное». На складе не предусматриваются производство реагентов, переработка руды или добыча полезных ископаемых.</w:t>
      </w:r>
    </w:p>
    <w:p w14:paraId="742F31EA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 xml:space="preserve">Объект размещается на промышленной территории ГОК в Актогайском районе Карагандинской области, примерно в 100 км </w:t>
      </w:r>
      <w:r w:rsidRPr="008B01A0">
        <w:rPr>
          <w:sz w:val="24"/>
          <w:szCs w:val="24"/>
        </w:rPr>
        <w:t>к востоку от города Балхаш и в 25 км к северу от железнодорожной станции Акжайдак. Расстояние до основного предприятия золотоизвлекательной фабрики составляет около 1,5 км. Используется существующая промышленная и транспортная инфраструктура.</w:t>
      </w:r>
    </w:p>
    <w:p w14:paraId="519AC7BB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Что планирует</w:t>
      </w:r>
      <w:r w:rsidRPr="008B01A0">
        <w:rPr>
          <w:szCs w:val="24"/>
        </w:rPr>
        <w:t>ся построить</w:t>
      </w:r>
    </w:p>
    <w:p w14:paraId="39ED362A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Предусмотрено одноэтажное арочное здание размером 16 × 20 м и высотой помещений 8 м. Склад разделен на два помещения: первое предназначено для соляной и серной кислот, второе — для медного купороса, метабисульфита натрия и нитрата свинца. Отоп</w:t>
      </w:r>
      <w:r w:rsidRPr="008B01A0">
        <w:rPr>
          <w:sz w:val="24"/>
          <w:szCs w:val="24"/>
        </w:rPr>
        <w:t>ление здания не предусматривается.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929"/>
        <w:gridCol w:w="4929"/>
      </w:tblGrid>
      <w:tr w:rsidR="00C47DB0" w:rsidRPr="008B01A0" w14:paraId="3FBB604A" w14:textId="77777777">
        <w:tc>
          <w:tcPr>
            <w:tcW w:w="49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C43ABF1" w14:textId="77777777" w:rsidR="00C47DB0" w:rsidRPr="008B01A0" w:rsidRDefault="00EC01F9" w:rsidP="008B01A0">
            <w:pPr>
              <w:spacing w:after="0"/>
              <w:jc w:val="both"/>
              <w:rPr>
                <w:sz w:val="24"/>
                <w:szCs w:val="24"/>
              </w:rPr>
            </w:pPr>
            <w:r w:rsidRPr="008B01A0">
              <w:rPr>
                <w:b/>
                <w:sz w:val="24"/>
                <w:szCs w:val="24"/>
              </w:rPr>
              <w:t>Хранимые реагенты</w:t>
            </w:r>
          </w:p>
        </w:tc>
        <w:tc>
          <w:tcPr>
            <w:tcW w:w="49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282FB8" w14:textId="77777777" w:rsidR="00C47DB0" w:rsidRPr="008B01A0" w:rsidRDefault="00EC01F9" w:rsidP="008B01A0">
            <w:pPr>
              <w:spacing w:after="0"/>
              <w:jc w:val="both"/>
              <w:rPr>
                <w:sz w:val="24"/>
                <w:szCs w:val="24"/>
              </w:rPr>
            </w:pPr>
            <w:r w:rsidRPr="008B01A0">
              <w:rPr>
                <w:b/>
                <w:sz w:val="24"/>
                <w:szCs w:val="24"/>
              </w:rPr>
              <w:t>Предусмотренное количество</w:t>
            </w:r>
          </w:p>
        </w:tc>
      </w:tr>
      <w:tr w:rsidR="00C47DB0" w:rsidRPr="008B01A0" w14:paraId="1BED2D10" w14:textId="77777777">
        <w:tc>
          <w:tcPr>
            <w:tcW w:w="49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69C470" w14:textId="77777777" w:rsidR="00C47DB0" w:rsidRPr="008B01A0" w:rsidRDefault="00EC01F9" w:rsidP="008B01A0">
            <w:pPr>
              <w:spacing w:after="0"/>
              <w:jc w:val="both"/>
              <w:rPr>
                <w:sz w:val="24"/>
                <w:szCs w:val="24"/>
              </w:rPr>
            </w:pPr>
            <w:r w:rsidRPr="008B01A0">
              <w:rPr>
                <w:sz w:val="24"/>
                <w:szCs w:val="24"/>
              </w:rPr>
              <w:t>Соляная кислота</w:t>
            </w:r>
          </w:p>
        </w:tc>
        <w:tc>
          <w:tcPr>
            <w:tcW w:w="49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EA1B016" w14:textId="77777777" w:rsidR="00C47DB0" w:rsidRPr="008B01A0" w:rsidRDefault="00EC01F9" w:rsidP="008B01A0">
            <w:pPr>
              <w:spacing w:after="0"/>
              <w:jc w:val="both"/>
              <w:rPr>
                <w:sz w:val="24"/>
                <w:szCs w:val="24"/>
              </w:rPr>
            </w:pPr>
            <w:r w:rsidRPr="008B01A0">
              <w:rPr>
                <w:sz w:val="24"/>
                <w:szCs w:val="24"/>
              </w:rPr>
              <w:t>38,29 т</w:t>
            </w:r>
          </w:p>
        </w:tc>
      </w:tr>
      <w:tr w:rsidR="00C47DB0" w:rsidRPr="008B01A0" w14:paraId="021B9983" w14:textId="77777777">
        <w:tc>
          <w:tcPr>
            <w:tcW w:w="49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4E67608" w14:textId="77777777" w:rsidR="00C47DB0" w:rsidRPr="008B01A0" w:rsidRDefault="00EC01F9" w:rsidP="008B01A0">
            <w:pPr>
              <w:spacing w:after="0"/>
              <w:jc w:val="both"/>
              <w:rPr>
                <w:sz w:val="24"/>
                <w:szCs w:val="24"/>
              </w:rPr>
            </w:pPr>
            <w:r w:rsidRPr="008B01A0">
              <w:rPr>
                <w:sz w:val="24"/>
                <w:szCs w:val="24"/>
              </w:rPr>
              <w:t>Серная кислота</w:t>
            </w:r>
          </w:p>
        </w:tc>
        <w:tc>
          <w:tcPr>
            <w:tcW w:w="49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84B0C17" w14:textId="77777777" w:rsidR="00C47DB0" w:rsidRPr="008B01A0" w:rsidRDefault="00EC01F9" w:rsidP="008B01A0">
            <w:pPr>
              <w:spacing w:after="0"/>
              <w:jc w:val="both"/>
              <w:rPr>
                <w:sz w:val="24"/>
                <w:szCs w:val="24"/>
              </w:rPr>
            </w:pPr>
            <w:r w:rsidRPr="008B01A0">
              <w:rPr>
                <w:sz w:val="24"/>
                <w:szCs w:val="24"/>
              </w:rPr>
              <w:t>40,32 т</w:t>
            </w:r>
          </w:p>
        </w:tc>
      </w:tr>
      <w:tr w:rsidR="00C47DB0" w:rsidRPr="008B01A0" w14:paraId="6EE743D6" w14:textId="77777777">
        <w:tc>
          <w:tcPr>
            <w:tcW w:w="49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7DCF12E" w14:textId="77777777" w:rsidR="00C47DB0" w:rsidRPr="008B01A0" w:rsidRDefault="00EC01F9" w:rsidP="008B01A0">
            <w:pPr>
              <w:spacing w:after="0"/>
              <w:jc w:val="both"/>
              <w:rPr>
                <w:sz w:val="24"/>
                <w:szCs w:val="24"/>
              </w:rPr>
            </w:pPr>
            <w:r w:rsidRPr="008B01A0">
              <w:rPr>
                <w:sz w:val="24"/>
                <w:szCs w:val="24"/>
              </w:rPr>
              <w:t>Медный купорос, метабисульфит натрия и нитрат свинца</w:t>
            </w:r>
          </w:p>
        </w:tc>
        <w:tc>
          <w:tcPr>
            <w:tcW w:w="492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1D7390" w14:textId="77777777" w:rsidR="00C47DB0" w:rsidRPr="008B01A0" w:rsidRDefault="00EC01F9" w:rsidP="008B01A0">
            <w:pPr>
              <w:spacing w:after="0"/>
              <w:jc w:val="both"/>
              <w:rPr>
                <w:sz w:val="24"/>
                <w:szCs w:val="24"/>
              </w:rPr>
            </w:pPr>
            <w:r w:rsidRPr="008B01A0">
              <w:rPr>
                <w:sz w:val="24"/>
                <w:szCs w:val="24"/>
              </w:rPr>
              <w:t>168 т суммарно для трех реагентов</w:t>
            </w:r>
          </w:p>
        </w:tc>
      </w:tr>
    </w:tbl>
    <w:p w14:paraId="39225191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Жидкие кислоты доставляются и хранятся</w:t>
      </w:r>
      <w:r w:rsidRPr="008B01A0">
        <w:rPr>
          <w:sz w:val="24"/>
          <w:szCs w:val="24"/>
        </w:rPr>
        <w:t xml:space="preserve"> в канистрах, твердые реагенты — в больших мешках типа биг-бэг. Основные операции склада — прием, размещение и выдача упакованных реагентов.</w:t>
      </w:r>
    </w:p>
    <w:p w14:paraId="74A00602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Сроки и рассматриваемый вариант</w:t>
      </w:r>
    </w:p>
    <w:p w14:paraId="3A136EDE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 xml:space="preserve">Строительство намечено с 1 мая по 31 августа 2027 года, начало </w:t>
      </w:r>
      <w:r w:rsidRPr="008B01A0">
        <w:rPr>
          <w:sz w:val="24"/>
          <w:szCs w:val="24"/>
        </w:rPr>
        <w:t>эксплуатации — с 1 сентября 2027 года. Предполагаемый срок эксплуатации составляет 10 лет, до 2037 года.</w:t>
      </w:r>
    </w:p>
    <w:p w14:paraId="1691031B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Размещение на территории действующего ГОК позволяет использовать существующие подъезды и инфраструктуру. При отказе от строительства воздействия, связа</w:t>
      </w:r>
      <w:r w:rsidRPr="008B01A0">
        <w:rPr>
          <w:sz w:val="24"/>
          <w:szCs w:val="24"/>
        </w:rPr>
        <w:t>нные с новым зданием и строительными работами, не возникнут, но цель создания отдельного склада не будет достигнута.</w:t>
      </w:r>
    </w:p>
    <w:p w14:paraId="5430EF16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br w:type="page"/>
      </w:r>
    </w:p>
    <w:p w14:paraId="7450F562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lastRenderedPageBreak/>
        <w:t>Ожидаемое влияние на окружающую среду</w:t>
      </w:r>
    </w:p>
    <w:p w14:paraId="60E29B00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Основные воздействия при строительстве связаны с земляными работами, движением техники, сваркой и о</w:t>
      </w:r>
      <w:r w:rsidRPr="008B01A0">
        <w:rPr>
          <w:sz w:val="24"/>
          <w:szCs w:val="24"/>
        </w:rPr>
        <w:t>краской конструкций. При эксплуатации главное значение имеет безопасное обращение с химическими веществами и предупреждение повреждения упаковки.</w:t>
      </w:r>
    </w:p>
    <w:p w14:paraId="70612624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Атмосферный воздух</w:t>
      </w:r>
    </w:p>
    <w:p w14:paraId="5A01166F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При строительстве возможны пыление грунта и сыпучих материалов, выделение веществ при сваро</w:t>
      </w:r>
      <w:r w:rsidRPr="008B01A0">
        <w:rPr>
          <w:sz w:val="24"/>
          <w:szCs w:val="24"/>
        </w:rPr>
        <w:t>чных и окрасочных работах. В Отчете предусмотрено пять строительных источников выбросов; расчетный валовый выброс составляет 0,10863 т/год. Это количество поступающих веществ, а не показатель их концентрации в воздухе у жилых зданий.</w:t>
      </w:r>
    </w:p>
    <w:p w14:paraId="76C674C4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При штатном хранении р</w:t>
      </w:r>
      <w:r w:rsidRPr="008B01A0">
        <w:rPr>
          <w:sz w:val="24"/>
          <w:szCs w:val="24"/>
        </w:rPr>
        <w:t>еагентов в закрытой исправной упаковке самостоятельные источники выбросов не предусматриваются. При аварийном повреждении упаковки возможны выделение паров кислот и распространение порошкообразных реагентов.</w:t>
      </w:r>
    </w:p>
    <w:p w14:paraId="367A783E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Вода и почвы</w:t>
      </w:r>
    </w:p>
    <w:p w14:paraId="1363B1E0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Для персонала в период строительств</w:t>
      </w:r>
      <w:r w:rsidRPr="008B01A0">
        <w:rPr>
          <w:sz w:val="24"/>
          <w:szCs w:val="24"/>
        </w:rPr>
        <w:t>а используется привозная вода, питьевые нужды обеспечиваются бутилированной водой. При эксплуатации санитарные приборы подключаются к существующим наружным сетям. Производственные операции с использованием воды на складе и сброс загрязняющих веществ в водн</w:t>
      </w:r>
      <w:r w:rsidRPr="008B01A0">
        <w:rPr>
          <w:sz w:val="24"/>
          <w:szCs w:val="24"/>
        </w:rPr>
        <w:t>ые объекты или на рельеф не предусматриваются.</w:t>
      </w:r>
    </w:p>
    <w:p w14:paraId="72AB9F8F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При устройстве основания и траншей возможны локальное нарушение и уплотнение грунта. Плодородный слой при его наличии сохраняется при необходимости, а временно нарушенные участки восстанавливаются. Основной эк</w:t>
      </w:r>
      <w:r w:rsidRPr="008B01A0">
        <w:rPr>
          <w:sz w:val="24"/>
          <w:szCs w:val="24"/>
        </w:rPr>
        <w:t>сплуатационный риск — попадание реагентов на покрытие площадки, почву или в водоотвод при повреждении канистр и мешков.</w:t>
      </w:r>
    </w:p>
    <w:p w14:paraId="3D153233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Шум и вибрация</w:t>
      </w:r>
    </w:p>
    <w:p w14:paraId="7133B51A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Источники строительного шума — землеройная техника, транспорт и оборудование монтажных работ. При эксплуатации шум связан</w:t>
      </w:r>
      <w:r w:rsidRPr="008B01A0">
        <w:rPr>
          <w:sz w:val="24"/>
          <w:szCs w:val="24"/>
        </w:rPr>
        <w:t xml:space="preserve"> с эпизодической доставкой и перемещением грузов. Буровзрывные работы не предусматриваются.</w:t>
      </w:r>
    </w:p>
    <w:p w14:paraId="67B799D5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Шумовой расчет выполнен по аналогам строительной техники для условных расстояний и одновременной работы источников. Он характеризует расчетный сценарий; фактические</w:t>
      </w:r>
      <w:r w:rsidRPr="008B01A0">
        <w:rPr>
          <w:sz w:val="24"/>
          <w:szCs w:val="24"/>
        </w:rPr>
        <w:t xml:space="preserve"> уровни зависят от состава машин, режима работы, расстояний и фонового шума ГОК. Для защиты персонала и ближайших защищаемых территорий предусмотрены организационные и технические меры снижения шума.</w:t>
      </w:r>
    </w:p>
    <w:p w14:paraId="09957618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Растительность и животные</w:t>
      </w:r>
    </w:p>
    <w:p w14:paraId="45E037E8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Наибольшее влияние связано с н</w:t>
      </w:r>
      <w:r w:rsidRPr="008B01A0">
        <w:rPr>
          <w:sz w:val="24"/>
          <w:szCs w:val="24"/>
        </w:rPr>
        <w:t>арушением покрова в пределах строительной площадки, шумом и движением техники. Растительность за пределами рабочей зоны сохраняется, доступ животных в опасные зоны и к реагентам ограничивается.</w:t>
      </w:r>
    </w:p>
    <w:p w14:paraId="45CD9A2B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По заключению о сфере охвата участок расположен вне государств</w:t>
      </w:r>
      <w:r w:rsidRPr="008B01A0">
        <w:rPr>
          <w:sz w:val="24"/>
          <w:szCs w:val="24"/>
        </w:rPr>
        <w:t>енного лесного фонда и особо охраняемых природных территорий и не относится к путям миграции Бетпакдалинской популяции сайги и местам обитания архара. Эти сведения не означают подтвержденного отсутствия всех редких видов.</w:t>
      </w:r>
    </w:p>
    <w:p w14:paraId="7BA04A1F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Отходы</w:t>
      </w:r>
    </w:p>
    <w:p w14:paraId="4F4873AF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Расчетом Отчета предусмотре</w:t>
      </w:r>
      <w:r w:rsidRPr="008B01A0">
        <w:rPr>
          <w:sz w:val="24"/>
          <w:szCs w:val="24"/>
        </w:rPr>
        <w:t>ны смешанные коммунальные отходы — 1,0 т, отходы от красок и лаков — 0,007 т, отходы сварки — 0,00375 т; суммарно — 1,01075 т. Отходы накапливаются раздельно в специально оборудованных местах и передаются специализированным организациям. Захоронение отходо</w:t>
      </w:r>
      <w:r w:rsidRPr="008B01A0">
        <w:rPr>
          <w:sz w:val="24"/>
          <w:szCs w:val="24"/>
        </w:rPr>
        <w:t>в на площадке склада не предусматривается.</w:t>
      </w:r>
    </w:p>
    <w:p w14:paraId="298AD41F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br w:type="page"/>
      </w:r>
    </w:p>
    <w:p w14:paraId="4DF8710B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lastRenderedPageBreak/>
        <w:t>Аварийные риски и защита людей</w:t>
      </w:r>
    </w:p>
    <w:p w14:paraId="4F158D49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Наиболее значимые аварийные ситуации — повреждение упаковки при перевозке или разгрузке, пролив кислот, рассыпание твердых реагентов и пожар. Возможные последствия — химическое воз</w:t>
      </w:r>
      <w:r w:rsidRPr="008B01A0">
        <w:rPr>
          <w:sz w:val="24"/>
          <w:szCs w:val="24"/>
        </w:rPr>
        <w:t>действие на работников, загрязнение площадки и распространение веществ за пределы места повреждения.</w:t>
      </w:r>
    </w:p>
    <w:p w14:paraId="08D9FEA4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Для предупреждения аварий предусмотрены контроль целостности канистр и биг-бэгов, маркировка, соблюдение совместимости веществ, безопасное перемещение груз</w:t>
      </w:r>
      <w:r w:rsidRPr="008B01A0">
        <w:rPr>
          <w:sz w:val="24"/>
          <w:szCs w:val="24"/>
        </w:rPr>
        <w:t>ов и ограничение доступа посторонних. Работники проходят инструктажи и применяют средства индивидуальной защиты с учетом свойств реагентов.</w:t>
      </w:r>
    </w:p>
    <w:p w14:paraId="2E0A9A3E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При повреждении упаковки работы останавливаются, опасная зона ограждается, пролив или рассыпание локализуется. Дейст</w:t>
      </w:r>
      <w:r w:rsidRPr="008B01A0">
        <w:rPr>
          <w:sz w:val="24"/>
          <w:szCs w:val="24"/>
        </w:rPr>
        <w:t>вия выполняются по паспорту безопасности конкретного вещества. Не допускается смывать реагенты в наружные водоотводящие системы или на почву. При пожаре применяются подходящие для хранимых веществ средства тушения и организуется эвакуация.</w:t>
      </w:r>
    </w:p>
    <w:p w14:paraId="67CC0CFF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Основные природо</w:t>
      </w:r>
      <w:r w:rsidRPr="008B01A0">
        <w:rPr>
          <w:szCs w:val="24"/>
        </w:rPr>
        <w:t>охранные мероприятия</w:t>
      </w:r>
    </w:p>
    <w:p w14:paraId="1A1B6FA0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Для уменьшения пыления предусматриваются увлажнение пылящих поверхностей при необходимости, укрытие сыпучих материалов, ограничение скорости и поддержание техники в исправном состоянии.</w:t>
      </w:r>
    </w:p>
    <w:p w14:paraId="29961090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Для снижения шума используются исправные глушител</w:t>
      </w:r>
      <w:r w:rsidRPr="008B01A0">
        <w:rPr>
          <w:sz w:val="24"/>
          <w:szCs w:val="24"/>
        </w:rPr>
        <w:t>и, ограничение холостой работы двигателей, преимущественно дневное выполнение шумных операций и разделение их во времени. При необходимости применяются акустические экраны и средства защиты слуха.</w:t>
      </w:r>
    </w:p>
    <w:p w14:paraId="7D062A11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Для защиты вод и почв предотвращаются проливы, контролируют</w:t>
      </w:r>
      <w:r w:rsidRPr="008B01A0">
        <w:rPr>
          <w:sz w:val="24"/>
          <w:szCs w:val="24"/>
        </w:rPr>
        <w:t>ся упаковка и состояние площадки. Заправка, обслуживание и мойка техники выполняются только в оборудованных местах. Загрязненные реагентами жидкости не направляются в обычный поверхностный водоотвод.</w:t>
      </w:r>
    </w:p>
    <w:p w14:paraId="7088D27F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 xml:space="preserve">Временные строительные нарушения </w:t>
      </w:r>
      <w:r w:rsidRPr="008B01A0">
        <w:rPr>
          <w:sz w:val="24"/>
          <w:szCs w:val="24"/>
        </w:rPr>
        <w:t>восстанавливаются. Открытые выемки и опасные участки ограждаются. При обнаружении объектов, имеющих историческую, научную или культурную ценность, работы приостанавливаются, о находке сообщается местному исполнительному органу в течение трех рабочих дней.</w:t>
      </w:r>
    </w:p>
    <w:p w14:paraId="4C0049F2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Контроль и действия при прекращении деятельности</w:t>
      </w:r>
    </w:p>
    <w:p w14:paraId="4221B3D6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В период строительства контролируются границы рабочей зоны, пыление, исправность техники, обращение с отходами и выполнение мер против проливов. При наиболее шумных работах предусмотрены измерения шума в кон</w:t>
      </w:r>
      <w:r w:rsidRPr="008B01A0">
        <w:rPr>
          <w:sz w:val="24"/>
          <w:szCs w:val="24"/>
        </w:rPr>
        <w:t>трольных точках и на рабочих местах.</w:t>
      </w:r>
    </w:p>
    <w:p w14:paraId="21FCFA4D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При эксплуатации регулярно осматриваются упаковка и места хранения, проверяется порядок перемещения реагентов, фиксируются инциденты. Если вещества попали за пределы покрытия, определяется загрязненный участок и организ</w:t>
      </w:r>
      <w:r w:rsidRPr="008B01A0">
        <w:rPr>
          <w:sz w:val="24"/>
          <w:szCs w:val="24"/>
        </w:rPr>
        <w:t>уются необходимые восстановительные меры.</w:t>
      </w:r>
    </w:p>
    <w:p w14:paraId="011B227C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При прекращении эксплуатации оставшиеся реагенты удаляются в безопасном порядке, площадка обследуется, выявленное загрязнение устраняется, нарушенные участки восстанавливаются. Меры склада согласуются с системой эк</w:t>
      </w:r>
      <w:r w:rsidRPr="008B01A0">
        <w:rPr>
          <w:sz w:val="24"/>
          <w:szCs w:val="24"/>
        </w:rPr>
        <w:t>ологического контроля действующего ГОК.</w:t>
      </w:r>
    </w:p>
    <w:p w14:paraId="09069F9B" w14:textId="77777777" w:rsidR="00C47DB0" w:rsidRPr="008B01A0" w:rsidRDefault="00EC01F9" w:rsidP="008B01A0">
      <w:pPr>
        <w:pStyle w:val="1"/>
        <w:spacing w:before="0" w:after="0"/>
        <w:jc w:val="both"/>
        <w:rPr>
          <w:szCs w:val="24"/>
        </w:rPr>
      </w:pPr>
      <w:r w:rsidRPr="008B01A0">
        <w:rPr>
          <w:szCs w:val="24"/>
        </w:rPr>
        <w:t>Общий вывод</w:t>
      </w:r>
    </w:p>
    <w:p w14:paraId="5E25A565" w14:textId="77777777" w:rsidR="00C47DB0" w:rsidRPr="008B01A0" w:rsidRDefault="00EC01F9" w:rsidP="008B01A0">
      <w:pPr>
        <w:spacing w:after="0"/>
        <w:jc w:val="both"/>
        <w:rPr>
          <w:sz w:val="24"/>
          <w:szCs w:val="24"/>
        </w:rPr>
      </w:pPr>
      <w:r w:rsidRPr="008B01A0">
        <w:rPr>
          <w:sz w:val="24"/>
          <w:szCs w:val="24"/>
        </w:rPr>
        <w:t>Проект создает отдельное место хранения химических реагентов на существующей промышленной территории. Строительные воздействия имеют преимущественно локальный и временный характер. Безопасность эксплуатац</w:t>
      </w:r>
      <w:r w:rsidRPr="008B01A0">
        <w:rPr>
          <w:sz w:val="24"/>
          <w:szCs w:val="24"/>
        </w:rPr>
        <w:t>ии зависит от целостности упаковки, соблюдения правил хранения и готовности к локализации аварий. Выполнение предусмотренных мероприятий направлено на снижение воздействия на работников, население и окружающую среду.</w:t>
      </w:r>
    </w:p>
    <w:sectPr w:rsidR="00C47DB0" w:rsidRPr="008B01A0" w:rsidSect="00034616">
      <w:footerReference w:type="default" r:id="rId8"/>
      <w:pgSz w:w="12240" w:h="15840"/>
      <w:pgMar w:top="1020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86ECC" w14:textId="77777777" w:rsidR="00EC01F9" w:rsidRDefault="00EC01F9">
      <w:pPr>
        <w:spacing w:after="0"/>
      </w:pPr>
      <w:r>
        <w:separator/>
      </w:r>
    </w:p>
  </w:endnote>
  <w:endnote w:type="continuationSeparator" w:id="0">
    <w:p w14:paraId="7D53AEEA" w14:textId="77777777" w:rsidR="00EC01F9" w:rsidRDefault="00EC01F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0CCF9" w14:textId="77777777" w:rsidR="00C47DB0" w:rsidRDefault="00EC01F9">
    <w:pPr>
      <w:pStyle w:val="a7"/>
      <w:jc w:val="right"/>
    </w:pPr>
    <w:r>
      <w:fldChar w:fldCharType="begin"/>
    </w:r>
    <w:r>
      <w:instrText>PAGE</w:instrText>
    </w:r>
    <w:r>
      <w:fldChar w:fldCharType="separate"/>
    </w:r>
    <w:r w:rsidR="008B01A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36D12" w14:textId="77777777" w:rsidR="00EC01F9" w:rsidRDefault="00EC01F9">
      <w:pPr>
        <w:spacing w:after="0"/>
      </w:pPr>
      <w:r>
        <w:separator/>
      </w:r>
    </w:p>
  </w:footnote>
  <w:footnote w:type="continuationSeparator" w:id="0">
    <w:p w14:paraId="636C963D" w14:textId="77777777" w:rsidR="00EC01F9" w:rsidRDefault="00EC01F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B01A0"/>
    <w:rsid w:val="00AA1D8D"/>
    <w:rsid w:val="00B47730"/>
    <w:rsid w:val="00C47DB0"/>
    <w:rsid w:val="00CB0664"/>
    <w:rsid w:val="00EC01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4987F3"/>
  <w14:defaultImageDpi w14:val="300"/>
  <w15:docId w15:val="{F589FAD4-E41B-411C-A51C-202BF7764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20"/>
      <w:outlineLvl w:val="0"/>
    </w:pPr>
    <w:rPr>
      <w:b/>
      <w:bCs/>
      <w:color w:val="000000"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b/>
      <w:bCs/>
      <w:color w:val="000000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before="200" w:after="120"/>
      <w:contextualSpacing/>
    </w:pPr>
    <w:rPr>
      <w:b/>
      <w:color w:val="000000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1246</Words>
  <Characters>7107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Maulen</cp:lastModifiedBy>
  <cp:revision>2</cp:revision>
  <dcterms:created xsi:type="dcterms:W3CDTF">2013-12-23T23:15:00Z</dcterms:created>
  <dcterms:modified xsi:type="dcterms:W3CDTF">2026-10-07T08:34:00Z</dcterms:modified>
  <cp:category/>
</cp:coreProperties>
</file>