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4405B" w14:textId="77777777" w:rsidR="004137C4" w:rsidRDefault="004137C4" w:rsidP="004137C4"/>
    <w:p w14:paraId="31C5B209" w14:textId="77777777" w:rsidR="004137C4" w:rsidRDefault="004137C4" w:rsidP="004137C4">
      <w:pPr>
        <w:pStyle w:val="1"/>
        <w:rPr>
          <w:rFonts w:ascii="Times New Roman" w:hAnsi="Times New Roman" w:cs="Times New Roman"/>
          <w:b/>
          <w:lang w:bidi="ar-SA"/>
        </w:rPr>
      </w:pPr>
      <w:bookmarkStart w:id="0" w:name="_Toc168671100"/>
      <w:bookmarkStart w:id="1" w:name="_Toc242436867"/>
      <w:r>
        <w:rPr>
          <w:b/>
          <w:lang w:bidi="ar-SA"/>
        </w:rPr>
        <w:t>Краткое нетехническое резюме с обобщением информации</w:t>
      </w:r>
      <w:bookmarkEnd w:id="0"/>
      <w:bookmarkEnd w:id="1"/>
    </w:p>
    <w:p w14:paraId="084BC7FC" w14:textId="77777777" w:rsidR="004137C4" w:rsidRDefault="004137C4" w:rsidP="004137C4">
      <w:pPr>
        <w:pStyle w:val="2"/>
        <w:rPr>
          <w:rFonts w:ascii="Times New Roman" w:hAnsi="Times New Roman" w:cs="Times New Roman"/>
          <w:szCs w:val="24"/>
          <w:lang w:bidi="ar-SA"/>
        </w:rPr>
      </w:pPr>
      <w:bookmarkStart w:id="2" w:name="_Toc241853321"/>
      <w:bookmarkStart w:id="3" w:name="_Toc242436868"/>
      <w:r>
        <w:rPr>
          <w:rFonts w:ascii="Times New Roman" w:hAnsi="Times New Roman" w:cs="Times New Roman"/>
          <w:szCs w:val="24"/>
          <w:lang w:bidi="ar-SA"/>
        </w:rPr>
        <w:t>1) Место осуществления намечаемой деятельности</w:t>
      </w:r>
      <w:bookmarkEnd w:id="2"/>
      <w:bookmarkEnd w:id="3"/>
    </w:p>
    <w:p w14:paraId="5E43B150" w14:textId="77777777" w:rsidR="004137C4" w:rsidRDefault="004137C4" w:rsidP="004137C4">
      <w:pPr>
        <w:pStyle w:val="Default"/>
      </w:pPr>
      <w:r>
        <w:t>АО «АК Алтыналмас» предусматривает корректировку разработки золоторудного месторождения «Южный Караул-Тобе» открытым способом. Участок расположен в Шортандинском районе Акмолинской области. Площадь участка недр составляет 4,27 км². Проект предусматривает шесть карьерных выемок. Месторождение находится приблизительно в 8 км от ГОК «Жолымбет», на действующую золотоизвлекательную фабрику которого направляется добытая руда. Строительство новой фабрики на участке данным проектом не предусматривается.</w:t>
      </w:r>
    </w:p>
    <w:p w14:paraId="65F62EB0" w14:textId="77777777" w:rsidR="004137C4" w:rsidRDefault="004137C4" w:rsidP="004137C4">
      <w:pPr>
        <w:pStyle w:val="Default"/>
      </w:pPr>
      <w:r>
        <w:t>Границы участка и размещение производственных объектов показаны на обзорной карте и карте-схеме проекта. Земельный участок с кадастровым номером 01:012:037:135 имеет целевое назначение «для добычи золота». Указанный срок аренды до 03.10.2031 года требует согласования с завершением работ в 2032 году.</w:t>
      </w:r>
    </w:p>
    <w:p w14:paraId="306A13F8" w14:textId="77777777" w:rsidR="004137C4" w:rsidRDefault="004137C4" w:rsidP="004137C4">
      <w:pPr>
        <w:pStyle w:val="2"/>
        <w:rPr>
          <w:rFonts w:ascii="Times New Roman" w:hAnsi="Times New Roman" w:cs="Times New Roman"/>
          <w:szCs w:val="24"/>
          <w:lang w:bidi="ar-SA"/>
        </w:rPr>
      </w:pPr>
      <w:bookmarkStart w:id="4" w:name="_Toc241853322"/>
      <w:bookmarkStart w:id="5" w:name="_Toc242436869"/>
      <w:r>
        <w:rPr>
          <w:rFonts w:ascii="Times New Roman" w:hAnsi="Times New Roman" w:cs="Times New Roman"/>
          <w:szCs w:val="24"/>
          <w:lang w:bidi="ar-SA"/>
        </w:rPr>
        <w:t>2) Затрагиваемая территория и население</w:t>
      </w:r>
      <w:bookmarkEnd w:id="4"/>
      <w:bookmarkEnd w:id="5"/>
    </w:p>
    <w:p w14:paraId="708CD87F" w14:textId="77777777" w:rsidR="004137C4" w:rsidRDefault="004137C4" w:rsidP="004137C4">
      <w:pPr>
        <w:pStyle w:val="Default"/>
      </w:pPr>
      <w:r>
        <w:t>Ближайшие населённые пункты — Каратобинское, Жолымбет и Карасай (прежнее название — Степок). В проектных материалах приведены ориентировочные расстояния 2 км до Каратобинского и 15 км до Карасая. Расстояния от конкретных объектов до жилых домов уточняются по ситуационному плану. Актуальную численность населения и количество жителей в пределах расчётных зон воздействия необходимо подтвердить официальными сведениями.</w:t>
      </w:r>
    </w:p>
    <w:p w14:paraId="665A844F" w14:textId="77777777" w:rsidR="004137C4" w:rsidRDefault="004137C4" w:rsidP="004137C4">
      <w:pPr>
        <w:pStyle w:val="Default"/>
      </w:pPr>
      <w:r>
        <w:t>Непосредственно затрагиваются земли карьеров, внешнего отвала вскрышных пород, рудного склада, отвалов плодородного слоя почвы, дорог и вспомогательных площадок. Суммарная площадь карьеров составляет 50,2 га, их глубина — от 23 до 96 м. Площадь внешнего отвала составляет 66,23 га, высота — 43 м; площадь рудного склада — 2,27 га. Изменения рельефа и условий использования земель имеют длительный характер.</w:t>
      </w:r>
    </w:p>
    <w:p w14:paraId="3992B46C" w14:textId="77777777" w:rsidR="004137C4" w:rsidRDefault="004137C4" w:rsidP="004137C4">
      <w:pPr>
        <w:pStyle w:val="2"/>
        <w:rPr>
          <w:rFonts w:ascii="Times New Roman" w:hAnsi="Times New Roman" w:cs="Times New Roman"/>
          <w:szCs w:val="24"/>
          <w:lang w:bidi="ar-SA"/>
        </w:rPr>
      </w:pPr>
      <w:bookmarkStart w:id="6" w:name="_Toc241853323"/>
      <w:bookmarkStart w:id="7" w:name="_Toc242436870"/>
      <w:r>
        <w:rPr>
          <w:rFonts w:ascii="Times New Roman" w:hAnsi="Times New Roman" w:cs="Times New Roman"/>
          <w:szCs w:val="24"/>
          <w:lang w:bidi="ar-SA"/>
        </w:rPr>
        <w:t>3) Основные характеристики деятельности</w:t>
      </w:r>
      <w:bookmarkEnd w:id="6"/>
      <w:bookmarkEnd w:id="7"/>
    </w:p>
    <w:p w14:paraId="4C207863" w14:textId="77777777" w:rsidR="004137C4" w:rsidRDefault="004137C4" w:rsidP="004137C4">
      <w:pPr>
        <w:pStyle w:val="Default"/>
      </w:pPr>
      <w:r>
        <w:t>Горные работы предусмотрены в 2026–2032 годах. Общий объём добычи составляет 3 615,5 тыс. т руды, объём вскрышных пород по итоговой строке ПГР — 20 455,3 тыс. т. Максимальная добыча руды составляет 720,0 тыс. т в 2026 году. В отдельных округлённых итогах календарного плана имеются арифметические расхождения, которые необходимо уточнить.</w:t>
      </w:r>
    </w:p>
    <w:p w14:paraId="14B7500D" w14:textId="77777777" w:rsidR="004137C4" w:rsidRDefault="004137C4" w:rsidP="004137C4">
      <w:pPr>
        <w:pStyle w:val="Default"/>
      </w:pPr>
      <w:r>
        <w:t>Предусматриваются подготовка участков, снятие плодородного слоя почвы, бурение и взрывное рыхление пород, выемка, погрузка, перевозка руды и вскрыши, формирование отвала, содержание дорог и эксплуатационная разведка. Предприятие работает круглогодично, в две смены по 12 часов; взрывы выполняются в светлое время суток. Вскрышные породы размещаются во внешнем отвале, руда перевозится на фабрику ГОК «Жолымбет».</w:t>
      </w:r>
    </w:p>
    <w:p w14:paraId="5786AD48" w14:textId="77777777" w:rsidR="004137C4" w:rsidRDefault="004137C4" w:rsidP="004137C4">
      <w:pPr>
        <w:pStyle w:val="2"/>
        <w:rPr>
          <w:rFonts w:ascii="Times New Roman" w:hAnsi="Times New Roman" w:cs="Times New Roman"/>
          <w:szCs w:val="24"/>
          <w:lang w:bidi="ar-SA"/>
        </w:rPr>
      </w:pPr>
      <w:bookmarkStart w:id="8" w:name="_Toc241853324"/>
      <w:bookmarkStart w:id="9" w:name="_Toc242436871"/>
      <w:r>
        <w:rPr>
          <w:rFonts w:ascii="Times New Roman" w:hAnsi="Times New Roman" w:cs="Times New Roman"/>
          <w:szCs w:val="24"/>
          <w:lang w:bidi="ar-SA"/>
        </w:rPr>
        <w:t>4) Альтернативные варианты</w:t>
      </w:r>
      <w:bookmarkEnd w:id="8"/>
      <w:bookmarkEnd w:id="9"/>
    </w:p>
    <w:p w14:paraId="64B28396" w14:textId="77777777" w:rsidR="004137C4" w:rsidRDefault="004137C4" w:rsidP="004137C4">
      <w:pPr>
        <w:pStyle w:val="Default"/>
      </w:pPr>
      <w:r>
        <w:t>Размещение горных работ обусловлено положением запасов месторождения. Рассматриваются открытая разработка и отказ от реализации скорректированных решений. Отказ исключает дополнительные воздействия, связанные с увеличением горных работ, но не обеспечивает добычу предусмотренных проектом запасов. Выбор открытого способа обусловлен условиями залегания руды и горнотехническими параметрами месторождения. Технические варианты оцениваются по безопасности, полноте извлечения, объёмам нарушения земель и воздействию на окружающую среду.</w:t>
      </w:r>
    </w:p>
    <w:p w14:paraId="2F6F08EE" w14:textId="77777777" w:rsidR="004137C4" w:rsidRDefault="004137C4" w:rsidP="004137C4">
      <w:pPr>
        <w:pStyle w:val="2"/>
        <w:rPr>
          <w:rFonts w:ascii="Times New Roman" w:hAnsi="Times New Roman" w:cs="Times New Roman"/>
          <w:szCs w:val="24"/>
          <w:lang w:bidi="ar-SA"/>
        </w:rPr>
      </w:pPr>
      <w:bookmarkStart w:id="10" w:name="_Toc241853325"/>
      <w:bookmarkStart w:id="11" w:name="_Toc242436872"/>
      <w:r>
        <w:rPr>
          <w:rFonts w:ascii="Times New Roman" w:hAnsi="Times New Roman" w:cs="Times New Roman"/>
          <w:szCs w:val="24"/>
          <w:lang w:bidi="ar-SA"/>
        </w:rPr>
        <w:t>5) Основные воздействия на окружающую среду</w:t>
      </w:r>
      <w:bookmarkEnd w:id="10"/>
      <w:bookmarkEnd w:id="11"/>
    </w:p>
    <w:p w14:paraId="51B65A77" w14:textId="77777777" w:rsidR="004137C4" w:rsidRDefault="004137C4" w:rsidP="004137C4">
      <w:pPr>
        <w:pStyle w:val="Default"/>
      </w:pPr>
      <w:r>
        <w:t>Атмосферный воздух. Пыль образуется при бурении, погрузке, перевозке и складировании материалов, а также при сдувании с открытых поверхностей. Взрывные работы сопровождаются выделением пыли, оксидов азота и оксида углерода. В 2026 году учитываются 34 неорганизованных источника, в 2027–2032 годах — 31 источник.</w:t>
      </w:r>
    </w:p>
    <w:p w14:paraId="5BB9766C" w14:textId="77777777" w:rsidR="004137C4" w:rsidRDefault="004137C4" w:rsidP="004137C4">
      <w:pPr>
        <w:pStyle w:val="Default"/>
      </w:pPr>
      <w:r>
        <w:lastRenderedPageBreak/>
        <w:t>Расчётные годовые выбросы составляют: 2026 год — 173,7697183 т; 2027 год — 212,2696216 т; 2028 год — 262,86488 т; 2029 год — 199,2937701 т; 2030 год — 202,9435625 т; 2031 год — 206,9793053 т; 2032 год — 129,2345686 т. Наибольшая годовая масса выбросов приходится на 2028 год. Допустимость воздействия на жилую застройку и границу СЗЗ оценивается по концентрациям, а не только по годовой массе выбросов. Выводы о соблюдении нормативов требуют сверки с актуальными расчётами рассеивания.</w:t>
      </w:r>
    </w:p>
    <w:p w14:paraId="7500FC5A" w14:textId="77777777" w:rsidR="004137C4" w:rsidRDefault="004137C4" w:rsidP="004137C4">
      <w:pPr>
        <w:pStyle w:val="Default"/>
      </w:pPr>
      <w:r>
        <w:t>Водные ресурсы. Питьевая и хозяйственно-бытовая вода привозная; потребность по-новому ЗоНД составляет 967,25 м³/год. Для пылеподавления предусматривается карьерная вода. Расчётный водоприток составляет 3,6–24,3 м³/ч; величина 212 868 м³/год соответствует непрерывному максимальному притоку и не является потребностью в свежей воде. Часть откачиваемой воды используется на участке, остальная направляется в пруд-накопитель ГОК «Жолымбет» для повторного использования. Сброс на рельеф и в водные объекты не предусматривается. Водный баланс и проект отвода воды требуют согласования.</w:t>
      </w:r>
    </w:p>
    <w:p w14:paraId="41DDF0D9" w14:textId="77777777" w:rsidR="004137C4" w:rsidRDefault="004137C4" w:rsidP="004137C4">
      <w:pPr>
        <w:pStyle w:val="Default"/>
      </w:pPr>
      <w:r>
        <w:t>Почвы, недра и ландшафт. Разработка сопровождается изъятием руды и вскрыши, удалением растительного покрова и изменением рельефа. Плодородный слой почвы сохраняется отдельно для восстановления нарушенных земель. Возможные изменения уровней подземных вод при водоотливе требуют наблюдений и гидрогеологического обоснования.</w:t>
      </w:r>
    </w:p>
    <w:p w14:paraId="7A6D7AE3" w14:textId="77777777" w:rsidR="004137C4" w:rsidRDefault="004137C4" w:rsidP="004137C4">
      <w:pPr>
        <w:pStyle w:val="Default"/>
      </w:pPr>
      <w:r>
        <w:t>Отходы. Основной поток — вскрышные породы, размещаемые во внешнем отвале. Коммунальные отходы предусматриваются в количестве 10,95 т/год с передачей специализированной организации. Отходы ремонта техники учитываются на ремонтных площадках ГОК «Жолымбет». Приведённые в основной части расчёты бурового шлама и суммарных отходов взрывных работ требуют исправления и подтверждения исходных данных; их значения не принимаются в резюме как окончательные. Упаковка и отходы средств инициирования должны классифицироваться раздельно.</w:t>
      </w:r>
    </w:p>
    <w:p w14:paraId="5510504C" w14:textId="77777777" w:rsidR="004137C4" w:rsidRDefault="004137C4" w:rsidP="004137C4">
      <w:pPr>
        <w:pStyle w:val="Default"/>
      </w:pPr>
      <w:r>
        <w:t>Растительность, животный мир и культурное наследие. Наибольшее воздействие связано с занятием земель, удалением растительности, пылью, шумом и движением техники. Отсутствие охраняемых видов и объектов наследия необходимо подтверждать для актуальных границ всех объектов. При обнаружении предметов или объектов культурной ценности работы на соответствующем участке приостанавливаются и принимаются предусмотренные законодательством меры.</w:t>
      </w:r>
    </w:p>
    <w:p w14:paraId="6DE55AEF" w14:textId="77777777" w:rsidR="004137C4" w:rsidRDefault="004137C4" w:rsidP="004137C4">
      <w:pPr>
        <w:pStyle w:val="Default"/>
      </w:pPr>
      <w:r>
        <w:t>Население и работники. Возможные факторы воздействия — пыль, шум, движение транспорта, вибрация и воздушная волна при взрывах. Безопасность обеспечивается соблюдением границ опасных зон, режима взрывных работ, правил движения техники, применением средств защиты и контролем производственных факторов. Размер СЗЗ и соблюдение нормативов у жилой застройки должны быть подтверждены соответствующими расчётами.</w:t>
      </w:r>
    </w:p>
    <w:p w14:paraId="12DE6F2C" w14:textId="77777777" w:rsidR="004137C4" w:rsidRDefault="004137C4" w:rsidP="004137C4">
      <w:pPr>
        <w:pStyle w:val="2"/>
        <w:rPr>
          <w:rFonts w:ascii="Times New Roman" w:hAnsi="Times New Roman" w:cs="Times New Roman"/>
          <w:szCs w:val="24"/>
          <w:lang w:bidi="ar-SA"/>
        </w:rPr>
      </w:pPr>
      <w:bookmarkStart w:id="12" w:name="_Toc241853326"/>
      <w:bookmarkStart w:id="13" w:name="_Toc242436873"/>
      <w:r>
        <w:rPr>
          <w:rFonts w:ascii="Times New Roman" w:hAnsi="Times New Roman" w:cs="Times New Roman"/>
          <w:szCs w:val="24"/>
          <w:lang w:bidi="ar-SA"/>
        </w:rPr>
        <w:t>6) Меры снижения воздействия и контроль</w:t>
      </w:r>
      <w:bookmarkEnd w:id="12"/>
      <w:bookmarkEnd w:id="13"/>
    </w:p>
    <w:p w14:paraId="7A5BB7A2" w14:textId="77777777" w:rsidR="004137C4" w:rsidRDefault="004137C4" w:rsidP="004137C4">
      <w:pPr>
        <w:pStyle w:val="Default"/>
      </w:pPr>
      <w:r>
        <w:t>Предусматриваются полив технологических дорог и площадок, ограничение скорости техники, содержание дорог, сохранение плодородного слоя почвы, раздельное накопление отходов и их своевременная передача, предотвращение проливов топлива, контроль карьерного водоотлива и качества воды. Работы выполняются в отведённых границах. Экологический контроль должен охватывать воздух, воду и состояние земель с учётом утверждённой программы.</w:t>
      </w:r>
    </w:p>
    <w:p w14:paraId="2BA0BB16" w14:textId="77777777" w:rsidR="004137C4" w:rsidRDefault="004137C4" w:rsidP="004137C4">
      <w:pPr>
        <w:pStyle w:val="2"/>
        <w:rPr>
          <w:rFonts w:ascii="Times New Roman" w:hAnsi="Times New Roman" w:cs="Times New Roman"/>
          <w:szCs w:val="24"/>
          <w:lang w:bidi="ar-SA"/>
        </w:rPr>
      </w:pPr>
      <w:bookmarkStart w:id="14" w:name="_Toc241853327"/>
      <w:bookmarkStart w:id="15" w:name="_Toc242436874"/>
      <w:r>
        <w:rPr>
          <w:rFonts w:ascii="Times New Roman" w:hAnsi="Times New Roman" w:cs="Times New Roman"/>
          <w:szCs w:val="24"/>
          <w:lang w:bidi="ar-SA"/>
        </w:rPr>
        <w:t>7) Аварии и опасные природные явления</w:t>
      </w:r>
      <w:bookmarkEnd w:id="14"/>
      <w:bookmarkEnd w:id="15"/>
    </w:p>
    <w:p w14:paraId="503610EF" w14:textId="77777777" w:rsidR="004137C4" w:rsidRDefault="004137C4" w:rsidP="004137C4">
      <w:pPr>
        <w:pStyle w:val="Default"/>
      </w:pPr>
      <w:r>
        <w:t>Возможны пожары и проливы горюче-смазочных материалов, нарушения водоотлива, опасные ситуации при движении техники и взрывных работах, неустойчивость бортов и отвалов. Сильный ветер, метели, морозы и интенсивные осадки могут осложнять работы. Меры предупреждения включают техническое обслуживание оборудования, соблюдение технологии, контроль устойчивости сооружений и готовность персонала к оповещению и ликвидации последствий.</w:t>
      </w:r>
    </w:p>
    <w:p w14:paraId="453487C7" w14:textId="77777777" w:rsidR="004137C4" w:rsidRDefault="004137C4" w:rsidP="004137C4">
      <w:pPr>
        <w:pStyle w:val="2"/>
        <w:rPr>
          <w:rFonts w:ascii="Times New Roman" w:hAnsi="Times New Roman" w:cs="Times New Roman"/>
          <w:szCs w:val="24"/>
          <w:lang w:bidi="ar-SA"/>
        </w:rPr>
      </w:pPr>
      <w:bookmarkStart w:id="16" w:name="_Toc241853328"/>
      <w:bookmarkStart w:id="17" w:name="_Toc242436875"/>
      <w:r>
        <w:rPr>
          <w:rFonts w:ascii="Times New Roman" w:hAnsi="Times New Roman" w:cs="Times New Roman"/>
          <w:szCs w:val="24"/>
          <w:lang w:bidi="ar-SA"/>
        </w:rPr>
        <w:lastRenderedPageBreak/>
        <w:t>8) Восстановление территории и основные выводы</w:t>
      </w:r>
      <w:bookmarkEnd w:id="16"/>
      <w:bookmarkEnd w:id="17"/>
    </w:p>
    <w:p w14:paraId="0B49A6CD" w14:textId="77777777" w:rsidR="004137C4" w:rsidRDefault="004137C4" w:rsidP="004137C4">
      <w:pPr>
        <w:pStyle w:val="Default"/>
      </w:pPr>
      <w:r>
        <w:t>После завершения работ восстановление нарушенных земель выполняется по проектным решениям ликвидации и рекультивации, с определением технического и биологического этапов, сроков и объёмов. Полное отсутствие необратимых изменений заявлять нельзя: карьерные выемки и отвал изменяют рельеф на длительный срок. Потери растительности и местообитаний оцениваются с учётом обследований и возможности восстановления.</w:t>
      </w:r>
    </w:p>
    <w:p w14:paraId="2390C138" w14:textId="77777777" w:rsidR="004137C4" w:rsidRDefault="004137C4" w:rsidP="004137C4">
      <w:pPr>
        <w:pStyle w:val="Default"/>
      </w:pPr>
      <w:r>
        <w:t>Проект обеспечивает освоение запасов и поддерживает производственную деятельность, занятость и поступления в бюджет. Окончательный вывод о допустимости воздействия принимается после согласования расчётов выбросов, отходов и водного баланса, проверки границ СЗЗ и подтверждения отсутствия недопустимого воздействия на население и природные объекты. Отмеченные в проекте ограничения исходной информации должны быть устранены до принятия окончательных показателей.</w:t>
      </w:r>
    </w:p>
    <w:p w14:paraId="03514469" w14:textId="77777777" w:rsidR="004137C4" w:rsidRDefault="004137C4" w:rsidP="004137C4">
      <w:pPr>
        <w:rPr>
          <w:rFonts w:cs="Times New Roman"/>
        </w:rPr>
      </w:pPr>
    </w:p>
    <w:p w14:paraId="5FBA130F" w14:textId="77777777" w:rsidR="004137C4" w:rsidRDefault="004137C4" w:rsidP="004137C4">
      <w:pPr>
        <w:rPr>
          <w:rFonts w:cs="Times New Roman"/>
        </w:rPr>
      </w:pPr>
    </w:p>
    <w:p w14:paraId="7D4DFD14" w14:textId="77777777" w:rsidR="000B77D4" w:rsidRDefault="000B77D4"/>
    <w:sectPr w:rsidR="000B77D4" w:rsidSect="00004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535FC1"/>
    <w:multiLevelType w:val="multilevel"/>
    <w:tmpl w:val="A1E0A01A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ascii="Garamond" w:hAnsi="Garamond" w:hint="default"/>
        <w:sz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color w:val="00206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color w:val="00206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color w:val="00206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color w:val="00206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color w:val="00206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color w:val="00206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color w:val="00206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color w:val="00206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620"/>
    <w:rsid w:val="0000471C"/>
    <w:rsid w:val="000428FC"/>
    <w:rsid w:val="000B77D4"/>
    <w:rsid w:val="004137C4"/>
    <w:rsid w:val="007B7BC0"/>
    <w:rsid w:val="00C972AE"/>
    <w:rsid w:val="00E76A81"/>
    <w:rsid w:val="00F20620"/>
    <w:rsid w:val="00F20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ED1F3A-83E3-47D0-BB3A-BA17458C6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7C4"/>
    <w:pPr>
      <w:widowControl w:val="0"/>
      <w:spacing w:after="0" w:line="240" w:lineRule="auto"/>
      <w:jc w:val="both"/>
    </w:pPr>
    <w:rPr>
      <w:rFonts w:eastAsia="Microsoft Sans Serif" w:cs="Microsoft Sans Serif"/>
      <w:color w:val="000000"/>
      <w:lang w:val="ru-RU" w:eastAsia="ru-RU" w:bidi="ru-RU"/>
    </w:rPr>
  </w:style>
  <w:style w:type="paragraph" w:styleId="1">
    <w:name w:val="heading 1"/>
    <w:aliases w:val="Chapter Head,HeadingR 1,HeadingR 11,HeadingR 12,HeadingR 13,HeadingR 14,HeadingR 15,HeadingR 16,RSKH1,Ззаголовок 1,KAAE,Hoofdstuk,Modulo,- 1st Order Heading,Report Heading 1,TA CHAPTER NO.,. (1.0),CHAPTER HEADER,ALK_K1,Heading 1_ARGOSS"/>
    <w:basedOn w:val="a"/>
    <w:next w:val="a"/>
    <w:link w:val="10"/>
    <w:qFormat/>
    <w:rsid w:val="004137C4"/>
    <w:pPr>
      <w:keepNext/>
      <w:keepLines/>
      <w:numPr>
        <w:numId w:val="1"/>
      </w:numPr>
      <w:jc w:val="center"/>
      <w:outlineLvl w:val="0"/>
    </w:pPr>
    <w:rPr>
      <w:rFonts w:ascii="Garamond" w:eastAsiaTheme="majorEastAsia" w:hAnsi="Garamond" w:cstheme="majorBidi"/>
      <w:i/>
      <w:color w:val="002060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4137C4"/>
    <w:pPr>
      <w:keepNext/>
      <w:keepLines/>
      <w:jc w:val="center"/>
      <w:outlineLvl w:val="1"/>
    </w:pPr>
    <w:rPr>
      <w:rFonts w:ascii="Garamond" w:eastAsiaTheme="majorEastAsia" w:hAnsi="Garamond" w:cstheme="majorBidi"/>
      <w:b/>
      <w:i/>
      <w:color w:val="002060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Chapter Head Знак,HeadingR 1 Знак,HeadingR 11 Знак,HeadingR 12 Знак,HeadingR 13 Знак,HeadingR 14 Знак,HeadingR 15 Знак,HeadingR 16 Знак,RSKH1 Знак,Ззаголовок 1 Знак,KAAE Знак,Hoofdstuk Знак,Modulo Знак,- 1st Order Heading Знак"/>
    <w:basedOn w:val="a0"/>
    <w:link w:val="1"/>
    <w:rsid w:val="004137C4"/>
    <w:rPr>
      <w:rFonts w:ascii="Garamond" w:eastAsiaTheme="majorEastAsia" w:hAnsi="Garamond" w:cstheme="majorBidi"/>
      <w:i/>
      <w:color w:val="002060"/>
      <w:szCs w:val="32"/>
      <w:lang w:val="ru-RU" w:eastAsia="ru-RU" w:bidi="ru-RU"/>
    </w:rPr>
  </w:style>
  <w:style w:type="character" w:customStyle="1" w:styleId="20">
    <w:name w:val="Заголовок 2 Знак"/>
    <w:basedOn w:val="a0"/>
    <w:link w:val="2"/>
    <w:semiHidden/>
    <w:rsid w:val="004137C4"/>
    <w:rPr>
      <w:rFonts w:ascii="Garamond" w:eastAsiaTheme="majorEastAsia" w:hAnsi="Garamond" w:cstheme="majorBidi"/>
      <w:b/>
      <w:i/>
      <w:color w:val="002060"/>
      <w:szCs w:val="26"/>
      <w:lang w:val="ru-RU" w:eastAsia="ru-RU" w:bidi="ru-RU"/>
    </w:rPr>
  </w:style>
  <w:style w:type="paragraph" w:customStyle="1" w:styleId="Default">
    <w:name w:val="Default"/>
    <w:qFormat/>
    <w:rsid w:val="004137C4"/>
    <w:pPr>
      <w:autoSpaceDE w:val="0"/>
      <w:autoSpaceDN w:val="0"/>
      <w:adjustRightInd w:val="0"/>
      <w:spacing w:after="0" w:line="240" w:lineRule="auto"/>
      <w:ind w:firstLine="567"/>
      <w:jc w:val="both"/>
    </w:pPr>
    <w:rPr>
      <w:color w:val="00000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6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1208</Words>
  <Characters>6888</Characters>
  <Application>Microsoft Office Word</Application>
  <DocSecurity>0</DocSecurity>
  <Lines>57</Lines>
  <Paragraphs>16</Paragraphs>
  <ScaleCrop>false</ScaleCrop>
  <Company/>
  <LinksUpToDate>false</LinksUpToDate>
  <CharactersWithSpaces>8080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Daniyar Kerim</dc:creator>
  <cp:keywords/>
  <dc:description/>
  <cp:lastModifiedBy>Daniyar Kerim</cp:lastModifiedBy>
  <cp:revision>3</cp:revision>
  <dcterms:created xsi:type="dcterms:W3CDTF">2026-10-09T06:15:00Z</dcterms:created>
  <dcterms:modified xsi:type="dcterms:W3CDTF">2026-10-09T06:15:00Z</dcterms:modified>
</cp:coreProperties>
</file>