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7D64" w14:textId="77777777" w:rsidR="00FB7D9C" w:rsidRDefault="00A25A7D">
      <w:pPr>
        <w:spacing w:after="60"/>
        <w:jc w:val="center"/>
      </w:pPr>
      <w:r>
        <w:rPr>
          <w:b/>
          <w:bCs/>
          <w:sz w:val="28"/>
          <w:szCs w:val="28"/>
        </w:rPr>
        <w:t>Краткое нетехническое резюме</w:t>
      </w:r>
    </w:p>
    <w:p w14:paraId="6CC93965" w14:textId="77777777" w:rsidR="00FB7D9C" w:rsidRDefault="00A25A7D">
      <w:pPr>
        <w:spacing w:after="200"/>
        <w:jc w:val="center"/>
      </w:pPr>
      <w:r>
        <w:rPr>
          <w:b/>
          <w:bCs/>
        </w:rPr>
        <w:t xml:space="preserve">к проектам нормативов эмиссий и программам ТОО «Gas Processing Company» на 2027–2031 гг. (УКПГ-40, месторождение </w:t>
      </w:r>
      <w:proofErr w:type="spellStart"/>
      <w:r>
        <w:rPr>
          <w:b/>
          <w:bCs/>
        </w:rPr>
        <w:t>Кожасай</w:t>
      </w:r>
      <w:proofErr w:type="spellEnd"/>
      <w:r>
        <w:rPr>
          <w:b/>
          <w:bCs/>
        </w:rPr>
        <w:t>)</w:t>
      </w:r>
    </w:p>
    <w:p w14:paraId="7EABD03F" w14:textId="77777777" w:rsidR="00FB7D9C" w:rsidRDefault="00A25A7D">
      <w:pPr>
        <w:keepNext/>
        <w:spacing w:before="200" w:after="100"/>
      </w:pPr>
      <w:r>
        <w:rPr>
          <w:b/>
          <w:bCs/>
        </w:rPr>
        <w:t>1. Назначение документов</w:t>
      </w:r>
    </w:p>
    <w:p w14:paraId="20610B22" w14:textId="77777777" w:rsidR="00FB7D9C" w:rsidRDefault="00A25A7D">
      <w:pPr>
        <w:spacing w:after="60" w:line="276" w:lineRule="auto"/>
        <w:ind w:firstLine="709"/>
        <w:jc w:val="both"/>
      </w:pPr>
      <w:r>
        <w:t>Настоящее резюме в доступной форме описывает пакет природоохранной документации, разработанной для ТОО «Gas P</w:t>
      </w:r>
      <w:r>
        <w:t>rocessing Company» на период 2027–2031 гг. в связи с окончанием срока действия нормативов и экологического разрешения на 2022–2026 гг. В пакет входят:</w:t>
      </w:r>
    </w:p>
    <w:p w14:paraId="45F4CFC6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проект нормативов допустимых выбросов загрязняющих веществ в атмосферу (НДВ) на 2027–2031 гг.;</w:t>
      </w:r>
    </w:p>
    <w:p w14:paraId="5BD3B027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проект нор</w:t>
      </w:r>
      <w:r>
        <w:t>мативов допустимых сбросов загрязняющих веществ со сточными водами в пруд-испаритель (НДС) на 2027–2031 гг.;</w:t>
      </w:r>
    </w:p>
    <w:p w14:paraId="63199E1C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Программа управления отходами (ПУО) на 2027–2031 гг.;</w:t>
      </w:r>
    </w:p>
    <w:p w14:paraId="68D37F1F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Программа производственного экологического контроля (ПЭК) на 2027–2031 гг.</w:t>
      </w:r>
    </w:p>
    <w:p w14:paraId="14C0B822" w14:textId="77777777" w:rsidR="00FB7D9C" w:rsidRDefault="00A25A7D">
      <w:pPr>
        <w:spacing w:after="60" w:line="276" w:lineRule="auto"/>
        <w:ind w:firstLine="709"/>
        <w:jc w:val="both"/>
      </w:pPr>
      <w:r>
        <w:t xml:space="preserve">Нормативы эмиссий </w:t>
      </w:r>
      <w:r>
        <w:t>являются основой для выдачи экологического разрешения на воздействие и для контроля за тем, чтобы деятельность предприятия не приводила к превышению гигиенических нормативов качества окружающей среды. Документация разработана ТОО «</w:t>
      </w:r>
      <w:proofErr w:type="spellStart"/>
      <w:r>
        <w:t>Мунай</w:t>
      </w:r>
      <w:proofErr w:type="spellEnd"/>
      <w:r>
        <w:t xml:space="preserve"> </w:t>
      </w:r>
      <w:proofErr w:type="spellStart"/>
      <w:r>
        <w:t>Энерджи</w:t>
      </w:r>
      <w:proofErr w:type="spellEnd"/>
      <w:r>
        <w:t xml:space="preserve"> Групп» (лиц</w:t>
      </w:r>
      <w:r>
        <w:t>ензия № 01531Р от 14.01.2013 г.) в соответствии с Экологическим кодексом Республики Казахстан от 2 января 2021 года № 400-VI ЗРК.</w:t>
      </w:r>
    </w:p>
    <w:p w14:paraId="4064AB18" w14:textId="77777777" w:rsidR="00FB7D9C" w:rsidRDefault="00A25A7D">
      <w:pPr>
        <w:spacing w:after="60" w:line="276" w:lineRule="auto"/>
        <w:ind w:firstLine="709"/>
        <w:jc w:val="both"/>
      </w:pPr>
      <w:r>
        <w:t>Решением по определению категории от 14.10.2021 г. установка комплексной подготовки газа отнесена к объектам I категории, оказ</w:t>
      </w:r>
      <w:r>
        <w:t>ывающим негативное воздействие на окружающую среду.</w:t>
      </w:r>
    </w:p>
    <w:p w14:paraId="7104A124" w14:textId="77777777" w:rsidR="00FB7D9C" w:rsidRDefault="00A25A7D">
      <w:pPr>
        <w:keepNext/>
        <w:spacing w:before="200" w:after="100"/>
      </w:pPr>
      <w:r>
        <w:rPr>
          <w:b/>
          <w:bCs/>
        </w:rPr>
        <w:t>2. Основание для актуализации</w:t>
      </w:r>
    </w:p>
    <w:p w14:paraId="59A6D1B8" w14:textId="77777777" w:rsidR="00FB7D9C" w:rsidRDefault="00A25A7D">
      <w:pPr>
        <w:spacing w:after="60" w:line="276" w:lineRule="auto"/>
        <w:ind w:firstLine="709"/>
        <w:jc w:val="both"/>
      </w:pPr>
      <w:r>
        <w:t>Помимо окончания срока действия прежних нормативов, в 2027–2031 гг. на УКПГ-40 вводятся в эксплуатацию новые объекты, по которым разработаны Разделы «Охрана окружающей среды»</w:t>
      </w:r>
      <w:r>
        <w:t xml:space="preserve"> (РООС) к рабочим проектам и получены заключения уполномоченного органа:</w:t>
      </w:r>
    </w:p>
    <w:p w14:paraId="6FC8728E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«Проектирование вертикального резервуара 2000 м³ на территории УКПГ-40 на месторождении </w:t>
      </w:r>
      <w:proofErr w:type="spellStart"/>
      <w:r>
        <w:t>Кожасай</w:t>
      </w:r>
      <w:proofErr w:type="spellEnd"/>
      <w:r>
        <w:t>» (заключение № KZ30VWF00354638 от 26.05.2025 г.);</w:t>
      </w:r>
    </w:p>
    <w:p w14:paraId="77DFB54F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«Резервуарный парк хранения СПБТ на т</w:t>
      </w:r>
      <w:r>
        <w:t>ерритории УКПГ-40 месторождения «</w:t>
      </w:r>
      <w:proofErr w:type="spellStart"/>
      <w:r>
        <w:t>Кожасай</w:t>
      </w:r>
      <w:proofErr w:type="spellEnd"/>
      <w:r>
        <w:t>». Модернизация» (заключение № KZ42VWF00475963 от 08.12.2025 г.);</w:t>
      </w:r>
    </w:p>
    <w:p w14:paraId="5C3B7E20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«Реконструкция АВО (аппарат воздушного охлаждения с водяным орошением) нефтяного газа после 1-й ступени </w:t>
      </w:r>
      <w:proofErr w:type="spellStart"/>
      <w:r>
        <w:t>компримирования</w:t>
      </w:r>
      <w:proofErr w:type="spellEnd"/>
      <w:r>
        <w:t xml:space="preserve"> на УКПГ-40» (заключение № KZ95</w:t>
      </w:r>
      <w:r>
        <w:t>VWF00649415 от 28.09.2026 г.);</w:t>
      </w:r>
    </w:p>
    <w:p w14:paraId="71627726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«Реконструкция (модернизация) установки получения легких углеводородов на УКПГ-40» (заключение № KZ68VWF00649416 от 28.09.2026 г.).</w:t>
      </w:r>
    </w:p>
    <w:p w14:paraId="6981F1BA" w14:textId="77777777" w:rsidR="00FB7D9C" w:rsidRDefault="00A25A7D">
      <w:pPr>
        <w:spacing w:after="60" w:line="276" w:lineRule="auto"/>
        <w:ind w:firstLine="709"/>
        <w:jc w:val="both"/>
      </w:pPr>
      <w:r>
        <w:t>Согласно заключениям по АВО и УПЛУГ, проведение обязательной оценки воздействия на окружающую</w:t>
      </w:r>
      <w:r>
        <w:t xml:space="preserve"> среду не требуется; экологическая оценка выполнена по упрощенному порядку.</w:t>
      </w:r>
    </w:p>
    <w:p w14:paraId="39234F67" w14:textId="77777777" w:rsidR="00FB7D9C" w:rsidRDefault="00A25A7D">
      <w:pPr>
        <w:keepNext/>
        <w:spacing w:before="200" w:after="100"/>
      </w:pPr>
      <w:r>
        <w:rPr>
          <w:b/>
          <w:bCs/>
        </w:rPr>
        <w:lastRenderedPageBreak/>
        <w:t>3. Расположение предприятия</w:t>
      </w:r>
    </w:p>
    <w:p w14:paraId="1AA9EC4D" w14:textId="77777777" w:rsidR="00FB7D9C" w:rsidRDefault="00A25A7D">
      <w:pPr>
        <w:spacing w:after="60" w:line="276" w:lineRule="auto"/>
        <w:ind w:firstLine="709"/>
        <w:jc w:val="both"/>
      </w:pPr>
      <w:r>
        <w:t>Установка комплексной подготовки газа мощностью 40 000 м³/час (УКПГ-40) расположена в Байганинском районе Актюбинской области (</w:t>
      </w:r>
      <w:proofErr w:type="spellStart"/>
      <w:r>
        <w:t>Кызылбулакский</w:t>
      </w:r>
      <w:proofErr w:type="spellEnd"/>
      <w:r>
        <w:t xml:space="preserve"> сельский о</w:t>
      </w:r>
      <w:r>
        <w:t xml:space="preserve">круг), на месторождении </w:t>
      </w:r>
      <w:proofErr w:type="spellStart"/>
      <w:r>
        <w:t>Кожасай</w:t>
      </w:r>
      <w:proofErr w:type="spellEnd"/>
      <w:r>
        <w:t>, в 350 км к югу от г. Актобе. Площадка находится в постоянном землепользовании предприятия, площадь участка — 12,95 га. Все новые и реконструируемые объекты размещаются в пределах существующей промышленной площадки, дополнит</w:t>
      </w:r>
      <w:r>
        <w:t>ельного изъятия земель не требуется.</w:t>
      </w:r>
    </w:p>
    <w:p w14:paraId="03DAFD33" w14:textId="77777777" w:rsidR="00FB7D9C" w:rsidRDefault="00A25A7D">
      <w:pPr>
        <w:spacing w:after="60" w:line="276" w:lineRule="auto"/>
        <w:ind w:firstLine="709"/>
        <w:jc w:val="both"/>
      </w:pPr>
      <w:r>
        <w:t>С северо-восточной стороны от УКПГ расположена компрессорная станция «</w:t>
      </w:r>
      <w:proofErr w:type="spellStart"/>
      <w:r>
        <w:t>Кожасай</w:t>
      </w:r>
      <w:proofErr w:type="spellEnd"/>
      <w:r>
        <w:t>», с северо-западной стороны на расстоянии 200 м — территория ТОО «</w:t>
      </w:r>
      <w:proofErr w:type="spellStart"/>
      <w:r>
        <w:t>Казахойл</w:t>
      </w:r>
      <w:proofErr w:type="spellEnd"/>
      <w:r>
        <w:t xml:space="preserve"> Актобе». Расстояния до ближайших объектов:</w:t>
      </w:r>
    </w:p>
    <w:p w14:paraId="03303BFD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ближайшая жилая зона — </w:t>
      </w:r>
      <w:r>
        <w:t xml:space="preserve">п. </w:t>
      </w:r>
      <w:proofErr w:type="spellStart"/>
      <w:r>
        <w:t>Кожасай</w:t>
      </w:r>
      <w:proofErr w:type="spellEnd"/>
      <w:r>
        <w:t xml:space="preserve"> — 6,27 км в северо-западном направлении;</w:t>
      </w:r>
    </w:p>
    <w:p w14:paraId="6C79FDB3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вахтовый поселок — 6,9 км к северу;</w:t>
      </w:r>
    </w:p>
    <w:p w14:paraId="1F069CFD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река Эмба — 2,35 км в северо-западном и западном направлении;</w:t>
      </w:r>
    </w:p>
    <w:p w14:paraId="5BC1621C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памятник природы Актюбинской области пески «</w:t>
      </w:r>
      <w:proofErr w:type="spellStart"/>
      <w:r>
        <w:t>Кокжиде</w:t>
      </w:r>
      <w:proofErr w:type="spellEnd"/>
      <w:r>
        <w:t>» — 8,58 км в северо-западном направлении.</w:t>
      </w:r>
    </w:p>
    <w:p w14:paraId="24DDC1F6" w14:textId="77777777" w:rsidR="00FB7D9C" w:rsidRDefault="00A25A7D">
      <w:pPr>
        <w:spacing w:after="60" w:line="276" w:lineRule="auto"/>
        <w:ind w:firstLine="709"/>
        <w:jc w:val="both"/>
      </w:pPr>
      <w:r>
        <w:t>Для предприятия установлена санитарно-защитная зона (СЗЗ) размером от 3 500 до 4 480 м по разным направлениям (санитарно-эпидемиологическое заключение № D.04.X.KZ61VBZ00035135 от 21.06.2022 г., I класс опасности). Жилая застройка, постоянно проживающее нас</w:t>
      </w:r>
      <w:r>
        <w:t>еление, заповедники и памятники в пределах СЗЗ отсутствуют.</w:t>
      </w:r>
    </w:p>
    <w:p w14:paraId="6A66C285" w14:textId="77777777" w:rsidR="00FB7D9C" w:rsidRDefault="00A25A7D">
      <w:pPr>
        <w:keepNext/>
        <w:spacing w:before="200" w:after="100"/>
      </w:pPr>
      <w:r>
        <w:rPr>
          <w:b/>
          <w:bCs/>
        </w:rPr>
        <w:t>4. Чем занимается предприятие</w:t>
      </w:r>
    </w:p>
    <w:p w14:paraId="03416573" w14:textId="77777777" w:rsidR="00FB7D9C" w:rsidRDefault="00A25A7D">
      <w:pPr>
        <w:spacing w:after="60" w:line="276" w:lineRule="auto"/>
        <w:ind w:firstLine="709"/>
        <w:jc w:val="both"/>
      </w:pPr>
      <w:r>
        <w:t xml:space="preserve">ТОО «Gas Processing Company» перерабатывает попутный нефтяной газ, поступающий по трубопроводам с месторождения </w:t>
      </w:r>
      <w:proofErr w:type="spellStart"/>
      <w:r>
        <w:t>Кожасай</w:t>
      </w:r>
      <w:proofErr w:type="spellEnd"/>
      <w:r>
        <w:t xml:space="preserve"> (ТОО «</w:t>
      </w:r>
      <w:proofErr w:type="spellStart"/>
      <w:r>
        <w:t>Казахойл</w:t>
      </w:r>
      <w:proofErr w:type="spellEnd"/>
      <w:r>
        <w:t xml:space="preserve"> Актобе»). Цель деятельности — о</w:t>
      </w:r>
      <w:r>
        <w:t>беспечение энергетической и экологической безопасности, а также внутренних потребностей Республики Казахстан товарным и сжиженным нефтяным газом.</w:t>
      </w:r>
    </w:p>
    <w:p w14:paraId="7EDDAD49" w14:textId="77777777" w:rsidR="00FB7D9C" w:rsidRDefault="00A25A7D">
      <w:pPr>
        <w:spacing w:after="60" w:line="276" w:lineRule="auto"/>
        <w:ind w:firstLine="709"/>
        <w:jc w:val="both"/>
      </w:pPr>
      <w:r>
        <w:t xml:space="preserve">Газ последовательно проходит очистку от капельной жидкости, </w:t>
      </w:r>
      <w:proofErr w:type="spellStart"/>
      <w:r>
        <w:t>компримирование</w:t>
      </w:r>
      <w:proofErr w:type="spellEnd"/>
      <w:r>
        <w:t>, очистку от сероводорода (аминовая</w:t>
      </w:r>
      <w:r>
        <w:t xml:space="preserve"> сероочистка), осушку, разделение на фракции. Продукцией предприятия являются товарный газ, сжиженные углеводородные </w:t>
      </w:r>
      <w:proofErr w:type="spellStart"/>
      <w:r>
        <w:t>газы</w:t>
      </w:r>
      <w:proofErr w:type="spellEnd"/>
      <w:r>
        <w:t xml:space="preserve"> (пропан-бутан для бытовых нужд и автотранспорта), стабильный газовый бензин и гранулированная сера. Предприятие работает непрерывно — </w:t>
      </w:r>
      <w:r>
        <w:t>350 дней в году, 15 дней отводится на плановый ремонт. Планируемый объем переработки сырого газа в 2027–2031 гг. — 500 млн м³ в год.</w:t>
      </w:r>
    </w:p>
    <w:p w14:paraId="194DD8CA" w14:textId="77777777" w:rsidR="00FB7D9C" w:rsidRDefault="00A25A7D">
      <w:pPr>
        <w:keepNext/>
        <w:spacing w:before="200" w:after="100"/>
      </w:pPr>
      <w:r>
        <w:rPr>
          <w:b/>
          <w:bCs/>
        </w:rPr>
        <w:t>5. Воздействие на атмосферный воздух (проект НДВ)</w:t>
      </w:r>
    </w:p>
    <w:p w14:paraId="5A826CF6" w14:textId="77777777" w:rsidR="00FB7D9C" w:rsidRDefault="00A25A7D">
      <w:pPr>
        <w:spacing w:after="60" w:line="276" w:lineRule="auto"/>
        <w:ind w:firstLine="709"/>
        <w:jc w:val="both"/>
      </w:pPr>
      <w:r>
        <w:t>Основное воздействие предприятия на окружающую среду — выбросы в атмосфер</w:t>
      </w:r>
      <w:r>
        <w:t xml:space="preserve">ный воздух. Их источниками являются факельные установки (сжигание газа при пусках, остановках и аварийных сбросах), </w:t>
      </w:r>
      <w:proofErr w:type="spellStart"/>
      <w:r>
        <w:t>газопоршневые</w:t>
      </w:r>
      <w:proofErr w:type="spellEnd"/>
      <w:r>
        <w:t xml:space="preserve"> компрессоры, нагревательные печи, паровые котлы, печь </w:t>
      </w:r>
      <w:proofErr w:type="spellStart"/>
      <w:r>
        <w:t>дожига</w:t>
      </w:r>
      <w:proofErr w:type="spellEnd"/>
      <w:r>
        <w:t xml:space="preserve"> отходящих газов установки получения серы, а также утечки газа чер</w:t>
      </w:r>
      <w:r>
        <w:t>ез неплотности арматуры и фланцевых соединений оборудования и трубопроводов.</w:t>
      </w:r>
    </w:p>
    <w:p w14:paraId="589B0051" w14:textId="77777777" w:rsidR="00FB7D9C" w:rsidRDefault="00A25A7D">
      <w:pPr>
        <w:spacing w:after="60" w:line="276" w:lineRule="auto"/>
        <w:ind w:firstLine="709"/>
        <w:jc w:val="both"/>
      </w:pPr>
      <w:r>
        <w:t>Проектом НДВ на 2027–2031 гг. учтено 235 стационарных источников выбросов (50 организованных и 185 неорганизованных), выбрасывающих 47 загрязняющих веществ. Основную массу выбросо</w:t>
      </w:r>
      <w:r>
        <w:t>в составляют метан, диоксид серы, оксид углерода, оксиды азота и легкие углеводороды (бутан, пентан). По сравнению с прежним проектом добавлено 13 новых источников (резервуары РВСП-2000 и РГС-200, АВО, новое оборудование УПЛУГ), исключено 4 неработающих ис</w:t>
      </w:r>
      <w:r>
        <w:t>точника.</w:t>
      </w:r>
    </w:p>
    <w:p w14:paraId="4D68134B" w14:textId="77777777" w:rsidR="00FB7D9C" w:rsidRDefault="00A25A7D">
      <w:pPr>
        <w:keepNext/>
        <w:spacing w:before="120" w:after="60"/>
        <w:jc w:val="right"/>
      </w:pPr>
      <w:r>
        <w:rPr>
          <w:i/>
          <w:iCs/>
          <w:sz w:val="22"/>
          <w:szCs w:val="22"/>
        </w:rPr>
        <w:t>Таблица 1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4"/>
        <w:gridCol w:w="2100"/>
        <w:gridCol w:w="2100"/>
      </w:tblGrid>
      <w:tr w:rsidR="00FB7D9C" w14:paraId="7057C5B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B9055B" w14:textId="77777777" w:rsidR="00FB7D9C" w:rsidRDefault="00A25A7D">
            <w:r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0F371E" w14:textId="77777777" w:rsidR="00FB7D9C" w:rsidRDefault="00A25A7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НДВ 2022–2026 гг.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C2698A" w14:textId="77777777" w:rsidR="00FB7D9C" w:rsidRDefault="00A25A7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НДВ 2027–2031 гг.</w:t>
            </w:r>
          </w:p>
        </w:tc>
      </w:tr>
      <w:tr w:rsidR="00FB7D9C" w14:paraId="1D7934A0" w14:textId="77777777">
        <w:tblPrEx>
          <w:tblCellMar>
            <w:top w:w="0" w:type="dxa"/>
            <w:bottom w:w="0" w:type="dxa"/>
          </w:tblCellMar>
        </w:tblPrEx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483373" w14:textId="77777777" w:rsidR="00FB7D9C" w:rsidRDefault="00A25A7D">
            <w:r>
              <w:rPr>
                <w:sz w:val="22"/>
                <w:szCs w:val="22"/>
              </w:rPr>
              <w:t>Количество источников, всего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EAB14C" w14:textId="77777777" w:rsidR="00FB7D9C" w:rsidRDefault="00A25A7D">
            <w:pPr>
              <w:jc w:val="center"/>
            </w:pPr>
            <w:r>
              <w:rPr>
                <w:sz w:val="22"/>
                <w:szCs w:val="22"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A08775" w14:textId="77777777" w:rsidR="00FB7D9C" w:rsidRDefault="00A25A7D">
            <w:pPr>
              <w:jc w:val="center"/>
            </w:pPr>
            <w:r>
              <w:rPr>
                <w:sz w:val="22"/>
                <w:szCs w:val="22"/>
              </w:rPr>
              <w:t>235</w:t>
            </w:r>
          </w:p>
        </w:tc>
      </w:tr>
      <w:tr w:rsidR="00FB7D9C" w14:paraId="08D82137" w14:textId="77777777">
        <w:tblPrEx>
          <w:tblCellMar>
            <w:top w:w="0" w:type="dxa"/>
            <w:bottom w:w="0" w:type="dxa"/>
          </w:tblCellMar>
        </w:tblPrEx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E49C8A" w14:textId="77777777" w:rsidR="00FB7D9C" w:rsidRDefault="00A25A7D">
            <w:r>
              <w:rPr>
                <w:sz w:val="22"/>
                <w:szCs w:val="22"/>
              </w:rPr>
              <w:t>в т.ч. организованных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563FBC" w14:textId="77777777" w:rsidR="00FB7D9C" w:rsidRDefault="00A25A7D">
            <w:pPr>
              <w:jc w:val="center"/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D7F4D3" w14:textId="77777777" w:rsidR="00FB7D9C" w:rsidRDefault="00A25A7D">
            <w:pPr>
              <w:jc w:val="center"/>
            </w:pPr>
            <w:r>
              <w:rPr>
                <w:sz w:val="22"/>
                <w:szCs w:val="22"/>
              </w:rPr>
              <w:t>50</w:t>
            </w:r>
          </w:p>
        </w:tc>
      </w:tr>
      <w:tr w:rsidR="00FB7D9C" w14:paraId="0C8F43D1" w14:textId="77777777">
        <w:tblPrEx>
          <w:tblCellMar>
            <w:top w:w="0" w:type="dxa"/>
            <w:bottom w:w="0" w:type="dxa"/>
          </w:tblCellMar>
        </w:tblPrEx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7EF74C" w14:textId="77777777" w:rsidR="00FB7D9C" w:rsidRDefault="00A25A7D">
            <w:r>
              <w:rPr>
                <w:sz w:val="22"/>
                <w:szCs w:val="22"/>
              </w:rPr>
              <w:t>в т.ч. неорганизованных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E200EB" w14:textId="77777777" w:rsidR="00FB7D9C" w:rsidRDefault="00A25A7D">
            <w:pPr>
              <w:jc w:val="center"/>
            </w:pPr>
            <w:r>
              <w:rPr>
                <w:sz w:val="22"/>
                <w:szCs w:val="22"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9F6D7" w14:textId="77777777" w:rsidR="00FB7D9C" w:rsidRDefault="00A25A7D">
            <w:pPr>
              <w:jc w:val="center"/>
            </w:pPr>
            <w:r>
              <w:rPr>
                <w:sz w:val="22"/>
                <w:szCs w:val="22"/>
              </w:rPr>
              <w:t>185</w:t>
            </w:r>
          </w:p>
        </w:tc>
      </w:tr>
      <w:tr w:rsidR="00FB7D9C" w14:paraId="7EA98CED" w14:textId="77777777">
        <w:tblPrEx>
          <w:tblCellMar>
            <w:top w:w="0" w:type="dxa"/>
            <w:bottom w:w="0" w:type="dxa"/>
          </w:tblCellMar>
        </w:tblPrEx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954C2" w14:textId="77777777" w:rsidR="00FB7D9C" w:rsidRDefault="00A25A7D">
            <w:r>
              <w:rPr>
                <w:sz w:val="22"/>
                <w:szCs w:val="22"/>
              </w:rPr>
              <w:t>Норматив выбросов, т/год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A57A49" w14:textId="77777777" w:rsidR="00FB7D9C" w:rsidRDefault="00A25A7D">
            <w:pPr>
              <w:jc w:val="center"/>
            </w:pPr>
            <w:r>
              <w:rPr>
                <w:sz w:val="22"/>
                <w:szCs w:val="22"/>
              </w:rPr>
              <w:t>4 856,960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50F3E6" w14:textId="77777777" w:rsidR="00FB7D9C" w:rsidRDefault="00A25A7D">
            <w:pPr>
              <w:jc w:val="center"/>
            </w:pPr>
            <w:r>
              <w:rPr>
                <w:sz w:val="22"/>
                <w:szCs w:val="22"/>
              </w:rPr>
              <w:t>3 512,229</w:t>
            </w:r>
          </w:p>
        </w:tc>
      </w:tr>
    </w:tbl>
    <w:p w14:paraId="49906026" w14:textId="77777777" w:rsidR="00FB7D9C" w:rsidRDefault="00FB7D9C">
      <w:pPr>
        <w:spacing w:after="60"/>
      </w:pPr>
    </w:p>
    <w:p w14:paraId="42C57BFA" w14:textId="77777777" w:rsidR="00FB7D9C" w:rsidRDefault="00A25A7D">
      <w:pPr>
        <w:spacing w:after="60" w:line="276" w:lineRule="auto"/>
        <w:ind w:firstLine="709"/>
        <w:jc w:val="both"/>
      </w:pPr>
      <w:r>
        <w:t>Несмотря на увеличение числа источников, суммарный норматив выбросов снижается примерно на 28 % (с 4 856,960 до 3 512,229 т/год) за счет уточнения состава и плотности газа по утвержденным паспортам 2026 года. Из нормируемого объема на твердые вещества прих</w:t>
      </w:r>
      <w:r>
        <w:t>одится 72,112 т/год, на газообразные и жидкие — 3 440,118 т/год.</w:t>
      </w:r>
    </w:p>
    <w:p w14:paraId="2D320E6C" w14:textId="77777777" w:rsidR="00FB7D9C" w:rsidRDefault="00A25A7D">
      <w:pPr>
        <w:spacing w:after="60" w:line="276" w:lineRule="auto"/>
        <w:ind w:firstLine="709"/>
        <w:jc w:val="both"/>
      </w:pPr>
      <w:r>
        <w:t>Норматив — это верхняя допустимая граница, рассчитанная при полной загрузке оборудования. Фактические выбросы по данным отчетов производственного экологического контроля значительно ниже: 501</w:t>
      </w:r>
      <w:r>
        <w:t>,9 т в 2024 г., 309,7 т в 2025 г. и 114,6 т за I полугодие 2026 г.</w:t>
      </w:r>
    </w:p>
    <w:p w14:paraId="74600E96" w14:textId="77777777" w:rsidR="00FB7D9C" w:rsidRDefault="00A25A7D">
      <w:pPr>
        <w:spacing w:after="60" w:line="276" w:lineRule="auto"/>
        <w:ind w:firstLine="709"/>
        <w:jc w:val="both"/>
      </w:pPr>
      <w:r>
        <w:t>Расчеты рассеивания показали, что превышений предельно допустимых концентраций загрязняющих веществ на границе санитарно-защитной зоны нет, поэтому изменение размеров СЗЗ не требуется. На п</w:t>
      </w:r>
      <w:r>
        <w:t>ериоды неблагоприятных метеорологических условий (штиль, инверсии) предусмотрены мероприятия по временному снижению выбросов.</w:t>
      </w:r>
    </w:p>
    <w:p w14:paraId="241C8A07" w14:textId="77777777" w:rsidR="00FB7D9C" w:rsidRDefault="00A25A7D">
      <w:pPr>
        <w:keepNext/>
        <w:spacing w:before="200" w:after="100"/>
      </w:pPr>
      <w:r>
        <w:rPr>
          <w:b/>
          <w:bCs/>
        </w:rPr>
        <w:t>6. Сточные воды (проект НДС)</w:t>
      </w:r>
    </w:p>
    <w:p w14:paraId="75E7F9FE" w14:textId="77777777" w:rsidR="00FB7D9C" w:rsidRDefault="00A25A7D">
      <w:pPr>
        <w:spacing w:after="60" w:line="276" w:lineRule="auto"/>
        <w:ind w:firstLine="709"/>
        <w:jc w:val="both"/>
      </w:pPr>
      <w:r>
        <w:t>Сброс сточных вод в реки, водоемы и на рельеф местности предприятием не производится. Хозяйственно-бы</w:t>
      </w:r>
      <w:r>
        <w:t>товые, производственно-дождевые и солесодержащие стоки от АБК УКПГ-40, вахтового городка и компрессорной станции «</w:t>
      </w:r>
      <w:proofErr w:type="spellStart"/>
      <w:r>
        <w:t>Кожасай</w:t>
      </w:r>
      <w:proofErr w:type="spellEnd"/>
      <w:r>
        <w:t>» проходят многоступенчатую очистку: биологическую очистку на установке ЛОС-Р-35С с ультрафиолетовым обеззараживанием, доочистку в биол</w:t>
      </w:r>
      <w:r>
        <w:t>огическом пруду, отстаивание и механическую очистку с фильтрацией.</w:t>
      </w:r>
    </w:p>
    <w:p w14:paraId="5F6E821A" w14:textId="77777777" w:rsidR="00FB7D9C" w:rsidRDefault="00A25A7D">
      <w:pPr>
        <w:spacing w:after="60" w:line="276" w:lineRule="auto"/>
        <w:ind w:firstLine="709"/>
        <w:jc w:val="both"/>
      </w:pPr>
      <w:r>
        <w:t>Очищенная вода отводится в пруд-испаритель — накопитель замкнутого типа из двух карт общим объемом 47 492 м³. Часть очищенной воды используется повторно на производственные, противопожарные</w:t>
      </w:r>
      <w:r>
        <w:t xml:space="preserve"> нужды и полив. Объем отводимых сточных вод — 12,53 тыс. м³ в год (1,43 м³/ч).</w:t>
      </w:r>
    </w:p>
    <w:p w14:paraId="2D8210F7" w14:textId="77777777" w:rsidR="00FB7D9C" w:rsidRDefault="00A25A7D">
      <w:pPr>
        <w:spacing w:after="60" w:line="276" w:lineRule="auto"/>
        <w:ind w:firstLine="709"/>
        <w:jc w:val="both"/>
      </w:pPr>
      <w:r>
        <w:t>Проектом НДС установлены нормативы по 11 загрязняющим веществам (взвешенные вещества, БПК, ХПК, азот аммонийный, нитриты, нитраты, фосфаты, хлориды, сульфаты, ПАВ, нефтепродукты</w:t>
      </w:r>
      <w:r>
        <w:t>). Суммарный норматив сброса — 2,131 т/год. Поскольку пруд-испаритель является замкнутым накопителем, нормативы приняты на уровне фактических концентраций, подтвержденных анализами за последние три года.</w:t>
      </w:r>
    </w:p>
    <w:p w14:paraId="71D18E52" w14:textId="77777777" w:rsidR="00FB7D9C" w:rsidRDefault="00A25A7D">
      <w:pPr>
        <w:keepNext/>
        <w:spacing w:before="200" w:after="100"/>
      </w:pPr>
      <w:r>
        <w:rPr>
          <w:b/>
          <w:bCs/>
        </w:rPr>
        <w:t>7. Обращение с отходами (Программа управления отхода</w:t>
      </w:r>
      <w:r>
        <w:rPr>
          <w:b/>
          <w:bCs/>
        </w:rPr>
        <w:t>ми)</w:t>
      </w:r>
    </w:p>
    <w:p w14:paraId="0F4DE1A5" w14:textId="77777777" w:rsidR="00FB7D9C" w:rsidRDefault="00A25A7D">
      <w:pPr>
        <w:spacing w:after="60" w:line="276" w:lineRule="auto"/>
        <w:ind w:firstLine="709"/>
        <w:jc w:val="both"/>
      </w:pPr>
      <w:r>
        <w:t>При эксплуатации УКПГ-40 образуются отходы производства (отработанные масла, фильтры, молекулярные сита, катализаторы, активированный уголь, неликвидная сера, металлолом, строительный мусор и др.) и отходы потребления (твердые бытовые и пищевые отходы,</w:t>
      </w:r>
      <w:r>
        <w:t xml:space="preserve"> спецодежда, оргтехника и др.).</w:t>
      </w:r>
    </w:p>
    <w:p w14:paraId="39D6222D" w14:textId="77777777" w:rsidR="00FB7D9C" w:rsidRDefault="00A25A7D">
      <w:pPr>
        <w:spacing w:after="60" w:line="276" w:lineRule="auto"/>
        <w:ind w:firstLine="709"/>
        <w:jc w:val="both"/>
      </w:pPr>
      <w:r>
        <w:t>Собственных полигонов и мест захоронения отходов на предприятии нет. Отходы собираются раздельно в маркированные контейнеры на оборудованных площадках, хранятся не более 6 месяцев и передаются по договорам специализированным</w:t>
      </w:r>
      <w:r>
        <w:t xml:space="preserve"> организациям на переработку, утилизацию или обезвреживание.</w:t>
      </w:r>
    </w:p>
    <w:p w14:paraId="66E9EAC4" w14:textId="77777777" w:rsidR="00FB7D9C" w:rsidRDefault="00A25A7D">
      <w:pPr>
        <w:keepNext/>
        <w:spacing w:before="120" w:after="60"/>
        <w:jc w:val="right"/>
      </w:pPr>
      <w:r>
        <w:rPr>
          <w:i/>
          <w:iCs/>
          <w:sz w:val="22"/>
          <w:szCs w:val="22"/>
        </w:rPr>
        <w:t>Таблица 2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54"/>
        <w:gridCol w:w="3000"/>
      </w:tblGrid>
      <w:tr w:rsidR="00FB7D9C" w14:paraId="3501727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E059EA" w14:textId="77777777" w:rsidR="00FB7D9C" w:rsidRDefault="00A25A7D">
            <w:r>
              <w:rPr>
                <w:b/>
                <w:bCs/>
                <w:sz w:val="22"/>
                <w:szCs w:val="22"/>
              </w:rPr>
              <w:t>Лимиты накопления отходов на 2027–2031 гг.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E63162" w14:textId="77777777" w:rsidR="00FB7D9C" w:rsidRDefault="00A25A7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т/год</w:t>
            </w:r>
          </w:p>
        </w:tc>
      </w:tr>
      <w:tr w:rsidR="00FB7D9C" w14:paraId="475C5FA4" w14:textId="77777777">
        <w:tblPrEx>
          <w:tblCellMar>
            <w:top w:w="0" w:type="dxa"/>
            <w:bottom w:w="0" w:type="dxa"/>
          </w:tblCellMar>
        </w:tblPrEx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910E5C" w14:textId="77777777" w:rsidR="00FB7D9C" w:rsidRDefault="00A25A7D"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E08BB4" w14:textId="77777777" w:rsidR="00FB7D9C" w:rsidRDefault="00A25A7D">
            <w:pPr>
              <w:jc w:val="center"/>
            </w:pPr>
            <w:r>
              <w:rPr>
                <w:sz w:val="22"/>
                <w:szCs w:val="22"/>
              </w:rPr>
              <w:t>385,938</w:t>
            </w:r>
          </w:p>
        </w:tc>
      </w:tr>
      <w:tr w:rsidR="00FB7D9C" w14:paraId="3436030C" w14:textId="77777777">
        <w:tblPrEx>
          <w:tblCellMar>
            <w:top w:w="0" w:type="dxa"/>
            <w:bottom w:w="0" w:type="dxa"/>
          </w:tblCellMar>
        </w:tblPrEx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CDFBF5" w14:textId="77777777" w:rsidR="00FB7D9C" w:rsidRDefault="00A25A7D">
            <w:r>
              <w:rPr>
                <w:sz w:val="22"/>
                <w:szCs w:val="22"/>
              </w:rPr>
              <w:t>в т.ч. отходы производства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47B6A1" w14:textId="77777777" w:rsidR="00FB7D9C" w:rsidRDefault="00A25A7D">
            <w:pPr>
              <w:jc w:val="center"/>
            </w:pPr>
            <w:r>
              <w:rPr>
                <w:sz w:val="22"/>
                <w:szCs w:val="22"/>
              </w:rPr>
              <w:t>250,104</w:t>
            </w:r>
          </w:p>
        </w:tc>
      </w:tr>
      <w:tr w:rsidR="00FB7D9C" w14:paraId="72D05BA7" w14:textId="77777777">
        <w:tblPrEx>
          <w:tblCellMar>
            <w:top w:w="0" w:type="dxa"/>
            <w:bottom w:w="0" w:type="dxa"/>
          </w:tblCellMar>
        </w:tblPrEx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1FC4EB" w14:textId="77777777" w:rsidR="00FB7D9C" w:rsidRDefault="00A25A7D">
            <w:r>
              <w:rPr>
                <w:sz w:val="22"/>
                <w:szCs w:val="22"/>
              </w:rPr>
              <w:t>в т.ч. отходы потребления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D231E1" w14:textId="77777777" w:rsidR="00FB7D9C" w:rsidRDefault="00A25A7D">
            <w:pPr>
              <w:jc w:val="center"/>
            </w:pPr>
            <w:r>
              <w:rPr>
                <w:sz w:val="22"/>
                <w:szCs w:val="22"/>
              </w:rPr>
              <w:t>135,834</w:t>
            </w:r>
          </w:p>
        </w:tc>
      </w:tr>
    </w:tbl>
    <w:p w14:paraId="3E590A7B" w14:textId="77777777" w:rsidR="00FB7D9C" w:rsidRDefault="00FB7D9C">
      <w:pPr>
        <w:spacing w:after="60"/>
      </w:pPr>
    </w:p>
    <w:p w14:paraId="78F3F16A" w14:textId="77777777" w:rsidR="00FB7D9C" w:rsidRDefault="00A25A7D">
      <w:pPr>
        <w:spacing w:after="60" w:line="276" w:lineRule="auto"/>
        <w:ind w:firstLine="709"/>
        <w:jc w:val="both"/>
      </w:pPr>
      <w:r>
        <w:t>Наибольшие объемы приходятся на твердые бытовые отходы (120,4 т/год), отработанные молекулярные сита (51 т/год), неликвидную серу (50 т/год) и отработанные катализаторы (40 т/год). Рост объемов отдельных видов отходов связан с увеличением производства: вып</w:t>
      </w:r>
      <w:r>
        <w:t>уск серы вырос с 4 134,5 т в 2023 г. до 7 247,7 т в 2025 г. Программой предусмотрены разработка инструкции по обращению с отходами, паспортизация вновь образующихся опасных отходов, ежегодное заключение договоров со специализированными организациями и обуч</w:t>
      </w:r>
      <w:r>
        <w:t>ение персонала.</w:t>
      </w:r>
    </w:p>
    <w:p w14:paraId="41815C74" w14:textId="77777777" w:rsidR="00FB7D9C" w:rsidRDefault="00A25A7D">
      <w:pPr>
        <w:keepNext/>
        <w:spacing w:before="200" w:after="100"/>
      </w:pPr>
      <w:r>
        <w:rPr>
          <w:b/>
          <w:bCs/>
        </w:rPr>
        <w:t>8. Производственный экологический контроль (Программа ПЭК)</w:t>
      </w:r>
    </w:p>
    <w:p w14:paraId="1AC4AC2E" w14:textId="77777777" w:rsidR="00FB7D9C" w:rsidRDefault="00A25A7D">
      <w:pPr>
        <w:spacing w:after="60" w:line="276" w:lineRule="auto"/>
        <w:ind w:firstLine="709"/>
        <w:jc w:val="both"/>
      </w:pPr>
      <w:r>
        <w:t>Программа ПЭК определяет, что, где и как часто контролирует предприятие, чтобы подтвердить соблюдение нормативов:</w:t>
      </w:r>
    </w:p>
    <w:p w14:paraId="060E129E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ежедневный операционный контроль режима работы и технического состояния всех технологических установок, факелов, котельной и резервуарных парков;</w:t>
      </w:r>
    </w:p>
    <w:p w14:paraId="64ECE9D3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ежеквартальные инструментальные замеры выбросов на 21 организованном источнике (печи, котлы, факелы, установка получения серы), на остальных источниках — расчетным методом;</w:t>
      </w:r>
    </w:p>
    <w:p w14:paraId="6FD326DB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ежеквартальный контроль качества атмосферного воздуха в 2 точках на границе СЗЗ с н</w:t>
      </w:r>
      <w:r>
        <w:t>аветренной и подветренной стороны, а также в периоды неблагоприятных метеоусловий;</w:t>
      </w:r>
    </w:p>
    <w:p w14:paraId="12868C48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контроль сточных вод, поступающих в пруд-испаритель, и учет водопотребления и водоотведения по приборам учета;</w:t>
      </w:r>
    </w:p>
    <w:p w14:paraId="4EC06F36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ежегодный отбор проб воды реки Эмба и проб почвы в 4 точках по</w:t>
      </w:r>
      <w:r>
        <w:t xml:space="preserve"> границе промплощадки;</w:t>
      </w:r>
    </w:p>
    <w:p w14:paraId="47774847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ежеквартальный радиационный контроль территории, оборудования и отходов;</w:t>
      </w:r>
    </w:p>
    <w:p w14:paraId="461CA795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учет образования и передачи отходов, контроль мест накопления;</w:t>
      </w:r>
    </w:p>
    <w:p w14:paraId="5455C629" w14:textId="77777777" w:rsidR="00FB7D9C" w:rsidRDefault="00A25A7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ежемесячные и ежеквартальные внутренние проверки и ежеквартальная отчетность в уполномоченный орг</w:t>
      </w:r>
      <w:r>
        <w:t>ан.</w:t>
      </w:r>
    </w:p>
    <w:p w14:paraId="799FF439" w14:textId="77777777" w:rsidR="00FB7D9C" w:rsidRDefault="00A25A7D">
      <w:pPr>
        <w:spacing w:after="60" w:line="276" w:lineRule="auto"/>
        <w:ind w:firstLine="709"/>
        <w:jc w:val="both"/>
      </w:pPr>
      <w:r>
        <w:t>Лабораторные анализы выполняются аккредитованной лабораторией. Результаты ПЭК размещаются на портале и доступны общественности.</w:t>
      </w:r>
    </w:p>
    <w:p w14:paraId="08692D0A" w14:textId="77777777" w:rsidR="00FB7D9C" w:rsidRDefault="00A25A7D">
      <w:pPr>
        <w:keepNext/>
        <w:spacing w:before="200" w:after="100"/>
      </w:pPr>
      <w:r>
        <w:rPr>
          <w:b/>
          <w:bCs/>
        </w:rPr>
        <w:t>9. Реконструкция АВО и модернизация УПЛУГ</w:t>
      </w:r>
    </w:p>
    <w:p w14:paraId="45F195B3" w14:textId="77777777" w:rsidR="00FB7D9C" w:rsidRDefault="00A25A7D">
      <w:pPr>
        <w:spacing w:after="60" w:line="276" w:lineRule="auto"/>
        <w:ind w:firstLine="709"/>
        <w:jc w:val="both"/>
      </w:pPr>
      <w:r>
        <w:rPr>
          <w:b/>
          <w:bCs/>
        </w:rPr>
        <w:t xml:space="preserve">Реконструкция АВО. </w:t>
      </w:r>
      <w:r>
        <w:t>Предусматривается установка двух новых аппаратов воздушного охл</w:t>
      </w:r>
      <w:r>
        <w:t>аждения газа А-0204 А/В рядом с существующими, в пределах промплощадки. Продолжительность работ — 4 месяца (начало в 2026 г.). Выбросы за весь период работ составят около 1,75 т, отходы — около 3,9 т; вода для нужд строителей — 627 м³, бытовые стоки собира</w:t>
      </w:r>
      <w:r>
        <w:t>ются в герметичный выгреб (септик). В период эксплуатации новые аппараты добавят 1,41 т/год выбросов (утечки газа через неплотности соединений).</w:t>
      </w:r>
    </w:p>
    <w:p w14:paraId="6008CF4A" w14:textId="77777777" w:rsidR="00FB7D9C" w:rsidRDefault="00A25A7D">
      <w:pPr>
        <w:spacing w:after="60" w:line="276" w:lineRule="auto"/>
        <w:ind w:firstLine="709"/>
        <w:jc w:val="both"/>
      </w:pPr>
      <w:r>
        <w:rPr>
          <w:b/>
          <w:bCs/>
        </w:rPr>
        <w:t xml:space="preserve">Модернизация УПЛУГ. </w:t>
      </w:r>
      <w:r>
        <w:t xml:space="preserve">В связи с нехваткой мощности существующей установки получения легких углеводородов рядом с </w:t>
      </w:r>
      <w:r>
        <w:t>ней размещается вторая установка (УПЛУГ-II); существующая установка продолжает работать в прежнем режиме. Работы ведутся 7 месяцев (2026–2027 гг.) вахтовым методом, численность персонала — 48 человек. Выбросы при строительстве — 9,68 т в 2026 г. и 8,89 т в</w:t>
      </w:r>
      <w:r>
        <w:t xml:space="preserve"> 2027 г.; отходы — 2,88 т и 3,88 т соответственно. В период эксплуатации новое оборудование добавит 7,53 т/год выбросов углеводородов (бутан, изобутан, предельные углеводороды С1–С5); сероводород и метан от новых источников не выделяются.</w:t>
      </w:r>
    </w:p>
    <w:p w14:paraId="4D052CDD" w14:textId="77777777" w:rsidR="00FB7D9C" w:rsidRDefault="00A25A7D">
      <w:pPr>
        <w:spacing w:after="60" w:line="276" w:lineRule="auto"/>
        <w:ind w:firstLine="709"/>
        <w:jc w:val="both"/>
      </w:pPr>
      <w:r>
        <w:t xml:space="preserve">Выбросы и отходы </w:t>
      </w:r>
      <w:r>
        <w:t>периода строительства носят временный характер и прекращаются после окончания работ. Источники периода эксплуатации новых объектов учтены в проекте НДВ на 2027–2031 гг.</w:t>
      </w:r>
    </w:p>
    <w:p w14:paraId="5A96F21A" w14:textId="77777777" w:rsidR="00FB7D9C" w:rsidRDefault="00A25A7D">
      <w:pPr>
        <w:keepNext/>
        <w:spacing w:before="200" w:after="100"/>
      </w:pPr>
      <w:r>
        <w:rPr>
          <w:b/>
          <w:bCs/>
        </w:rPr>
        <w:t>10. Заключение</w:t>
      </w:r>
    </w:p>
    <w:p w14:paraId="6BD2A4C9" w14:textId="77777777" w:rsidR="00FB7D9C" w:rsidRDefault="00A25A7D">
      <w:pPr>
        <w:spacing w:after="60" w:line="276" w:lineRule="auto"/>
        <w:ind w:firstLine="709"/>
        <w:jc w:val="both"/>
      </w:pPr>
      <w:r>
        <w:t>Деятельность ТОО «Gas Processing Company» на 2027–2031 гг. с учетом ввод</w:t>
      </w:r>
      <w:r>
        <w:t>а новых объектов не приведет к превышению гигиенических нормативов качества атмосферного воздуха за границей санитарно-защитной зоны и в ближайшей жилой зоне. Сброс сточных вод в природные водные объекты не осуществляется, отходы не захораниваются на терри</w:t>
      </w:r>
      <w:r>
        <w:t>тории предприятия и передаются специализированным организациям. Соблюдение нормативов обеспечивается системой производственного экологического контроля с регулярной отчетностью перед уполномоченным органом.</w:t>
      </w:r>
    </w:p>
    <w:sectPr w:rsidR="00FB7D9C"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2448E"/>
    <w:multiLevelType w:val="hybridMultilevel"/>
    <w:tmpl w:val="784A498C"/>
    <w:lvl w:ilvl="0" w:tplc="D0504076">
      <w:start w:val="1"/>
      <w:numFmt w:val="bullet"/>
      <w:lvlText w:val="–"/>
      <w:lvlJc w:val="left"/>
      <w:pPr>
        <w:ind w:left="1069" w:hanging="360"/>
      </w:pPr>
    </w:lvl>
    <w:lvl w:ilvl="1" w:tplc="5F6C4152">
      <w:numFmt w:val="decimal"/>
      <w:lvlText w:val=""/>
      <w:lvlJc w:val="left"/>
    </w:lvl>
    <w:lvl w:ilvl="2" w:tplc="7A08E5A6">
      <w:numFmt w:val="decimal"/>
      <w:lvlText w:val=""/>
      <w:lvlJc w:val="left"/>
    </w:lvl>
    <w:lvl w:ilvl="3" w:tplc="C12E98EE">
      <w:numFmt w:val="decimal"/>
      <w:lvlText w:val=""/>
      <w:lvlJc w:val="left"/>
    </w:lvl>
    <w:lvl w:ilvl="4" w:tplc="7F509F52">
      <w:numFmt w:val="decimal"/>
      <w:lvlText w:val=""/>
      <w:lvlJc w:val="left"/>
    </w:lvl>
    <w:lvl w:ilvl="5" w:tplc="80641308">
      <w:numFmt w:val="decimal"/>
      <w:lvlText w:val=""/>
      <w:lvlJc w:val="left"/>
    </w:lvl>
    <w:lvl w:ilvl="6" w:tplc="6574A52A">
      <w:numFmt w:val="decimal"/>
      <w:lvlText w:val=""/>
      <w:lvlJc w:val="left"/>
    </w:lvl>
    <w:lvl w:ilvl="7" w:tplc="D7125326">
      <w:numFmt w:val="decimal"/>
      <w:lvlText w:val=""/>
      <w:lvlJc w:val="left"/>
    </w:lvl>
    <w:lvl w:ilvl="8" w:tplc="2D1ABFB0">
      <w:numFmt w:val="decimal"/>
      <w:lvlText w:val=""/>
      <w:lvlJc w:val="left"/>
    </w:lvl>
  </w:abstractNum>
  <w:abstractNum w:abstractNumId="1" w15:restartNumberingAfterBreak="0">
    <w:nsid w:val="51B0264F"/>
    <w:multiLevelType w:val="hybridMultilevel"/>
    <w:tmpl w:val="D2B61996"/>
    <w:lvl w:ilvl="0" w:tplc="D1F88F6E">
      <w:start w:val="1"/>
      <w:numFmt w:val="bullet"/>
      <w:lvlText w:val="●"/>
      <w:lvlJc w:val="left"/>
      <w:pPr>
        <w:ind w:left="720" w:hanging="360"/>
      </w:pPr>
    </w:lvl>
    <w:lvl w:ilvl="1" w:tplc="E9D07620">
      <w:start w:val="1"/>
      <w:numFmt w:val="bullet"/>
      <w:lvlText w:val="○"/>
      <w:lvlJc w:val="left"/>
      <w:pPr>
        <w:ind w:left="1440" w:hanging="360"/>
      </w:pPr>
    </w:lvl>
    <w:lvl w:ilvl="2" w:tplc="20AE0FD4">
      <w:start w:val="1"/>
      <w:numFmt w:val="bullet"/>
      <w:lvlText w:val="■"/>
      <w:lvlJc w:val="left"/>
      <w:pPr>
        <w:ind w:left="2160" w:hanging="360"/>
      </w:pPr>
    </w:lvl>
    <w:lvl w:ilvl="3" w:tplc="AD1E0DA2">
      <w:start w:val="1"/>
      <w:numFmt w:val="bullet"/>
      <w:lvlText w:val="●"/>
      <w:lvlJc w:val="left"/>
      <w:pPr>
        <w:ind w:left="2880" w:hanging="360"/>
      </w:pPr>
    </w:lvl>
    <w:lvl w:ilvl="4" w:tplc="3AFAD51C">
      <w:start w:val="1"/>
      <w:numFmt w:val="bullet"/>
      <w:lvlText w:val="○"/>
      <w:lvlJc w:val="left"/>
      <w:pPr>
        <w:ind w:left="3600" w:hanging="360"/>
      </w:pPr>
    </w:lvl>
    <w:lvl w:ilvl="5" w:tplc="53427EFE">
      <w:start w:val="1"/>
      <w:numFmt w:val="bullet"/>
      <w:lvlText w:val="■"/>
      <w:lvlJc w:val="left"/>
      <w:pPr>
        <w:ind w:left="4320" w:hanging="360"/>
      </w:pPr>
    </w:lvl>
    <w:lvl w:ilvl="6" w:tplc="548CCFEA">
      <w:start w:val="1"/>
      <w:numFmt w:val="bullet"/>
      <w:lvlText w:val="●"/>
      <w:lvlJc w:val="left"/>
      <w:pPr>
        <w:ind w:left="5040" w:hanging="360"/>
      </w:pPr>
    </w:lvl>
    <w:lvl w:ilvl="7" w:tplc="DAE64944">
      <w:start w:val="1"/>
      <w:numFmt w:val="bullet"/>
      <w:lvlText w:val="●"/>
      <w:lvlJc w:val="left"/>
      <w:pPr>
        <w:ind w:left="5760" w:hanging="360"/>
      </w:pPr>
    </w:lvl>
    <w:lvl w:ilvl="8" w:tplc="1C380B0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D9C"/>
    <w:rsid w:val="00A25A7D"/>
    <w:rsid w:val="00FB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C8AE6"/>
  <w15:docId w15:val="{1F05AE98-30DC-4203-BC76-80BB76090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1789</Words>
  <Characters>10200</Characters>
  <Application>Microsoft Office Word</Application>
  <DocSecurity>0</DocSecurity>
  <Lines>85</Lines>
  <Paragraphs>23</Paragraphs>
  <ScaleCrop>false</ScaleCrop>
  <Company/>
  <LinksUpToDate>false</LinksUpToDate>
  <CharactersWithSpaces>11966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Айгерим Шакирова</cp:lastModifiedBy>
  <cp:revision>2</cp:revision>
  <dcterms:created xsi:type="dcterms:W3CDTF">2026-10-12T08:31:00Z</dcterms:created>
  <dcterms:modified xsi:type="dcterms:W3CDTF">2026-10-12T08:31:00Z</dcterms:modified>
</cp:coreProperties>
</file>