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F03F1" w14:textId="77777777" w:rsidR="00226C18" w:rsidRPr="007B7E49" w:rsidRDefault="00000000">
      <w:pPr>
        <w:pStyle w:val="1"/>
        <w:rPr>
          <w:lang w:val="ru-RU"/>
        </w:rPr>
      </w:pPr>
      <w:r w:rsidRPr="007B7E49">
        <w:rPr>
          <w:lang w:val="ru-RU"/>
        </w:rPr>
        <w:t>Нетехническое резюме проекта</w:t>
      </w:r>
    </w:p>
    <w:p w14:paraId="1F521BFC" w14:textId="77777777" w:rsidR="00226C18" w:rsidRPr="007B7E49" w:rsidRDefault="00000000">
      <w:pPr>
        <w:pStyle w:val="2"/>
        <w:rPr>
          <w:lang w:val="ru-RU"/>
        </w:rPr>
      </w:pPr>
      <w:r w:rsidRPr="007B7E49">
        <w:rPr>
          <w:lang w:val="ru-RU"/>
        </w:rPr>
        <w:t>Общие сведения о проекте</w:t>
      </w:r>
    </w:p>
    <w:p w14:paraId="2C08529D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ТОО «</w:t>
      </w:r>
      <w:r>
        <w:t>Capital</w:t>
      </w:r>
      <w:r w:rsidRPr="007B7E49">
        <w:rPr>
          <w:lang w:val="ru-RU"/>
        </w:rPr>
        <w:t xml:space="preserve"> </w:t>
      </w:r>
      <w:r>
        <w:t>Stroy</w:t>
      </w:r>
      <w:r w:rsidRPr="007B7E49">
        <w:rPr>
          <w:lang w:val="ru-RU"/>
        </w:rPr>
        <w:t xml:space="preserve"> </w:t>
      </w:r>
      <w:r>
        <w:t>V</w:t>
      </w:r>
      <w:r w:rsidRPr="007B7E49">
        <w:rPr>
          <w:lang w:val="ru-RU"/>
        </w:rPr>
        <w:t>» планирует построить и эксплуатировать обогатительную фабрику, которая будет перерабатывать до 500 000 тонн полиметаллической руды в год с месторождения Жуантобе. Фабрика рассчитана примерно на 11 лет работы, нормативы выбросов устанавливаются на 2027–2036 годы.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226C18" w14:paraId="5211EBC8" w14:textId="77777777">
        <w:trPr>
          <w:tblHeader/>
        </w:trPr>
        <w:tc>
          <w:tcPr>
            <w:tcW w:w="4680" w:type="dxa"/>
            <w:shd w:val="clear" w:color="auto" w:fill="F2F2F2"/>
          </w:tcPr>
          <w:p w14:paraId="56561020" w14:textId="77777777" w:rsidR="00226C18" w:rsidRDefault="00000000">
            <w:r>
              <w:t>Параметр</w:t>
            </w:r>
          </w:p>
        </w:tc>
        <w:tc>
          <w:tcPr>
            <w:tcW w:w="4680" w:type="dxa"/>
            <w:shd w:val="clear" w:color="auto" w:fill="F2F2F2"/>
          </w:tcPr>
          <w:p w14:paraId="3EB57337" w14:textId="77777777" w:rsidR="00226C18" w:rsidRDefault="00000000">
            <w:r>
              <w:t>Значение</w:t>
            </w:r>
          </w:p>
        </w:tc>
      </w:tr>
      <w:tr w:rsidR="00226C18" w14:paraId="2042D8C8" w14:textId="77777777">
        <w:tc>
          <w:tcPr>
            <w:tcW w:w="4680" w:type="dxa"/>
          </w:tcPr>
          <w:p w14:paraId="148F3997" w14:textId="77777777" w:rsidR="00226C18" w:rsidRDefault="00000000">
            <w:r>
              <w:t>Инициатор (оператор)</w:t>
            </w:r>
          </w:p>
        </w:tc>
        <w:tc>
          <w:tcPr>
            <w:tcW w:w="4680" w:type="dxa"/>
          </w:tcPr>
          <w:p w14:paraId="55A118D7" w14:textId="77777777" w:rsidR="00226C18" w:rsidRDefault="00000000">
            <w:r>
              <w:t>ТОО «Capital Stroy V»</w:t>
            </w:r>
          </w:p>
        </w:tc>
      </w:tr>
      <w:tr w:rsidR="00226C18" w14:paraId="7CBC4579" w14:textId="77777777">
        <w:tc>
          <w:tcPr>
            <w:tcW w:w="4680" w:type="dxa"/>
          </w:tcPr>
          <w:p w14:paraId="3F8340FB" w14:textId="77777777" w:rsidR="00226C18" w:rsidRDefault="00000000">
            <w:r>
              <w:t>Проектировщик</w:t>
            </w:r>
          </w:p>
        </w:tc>
        <w:tc>
          <w:tcPr>
            <w:tcW w:w="4680" w:type="dxa"/>
          </w:tcPr>
          <w:p w14:paraId="2960AC3C" w14:textId="77777777" w:rsidR="00226C18" w:rsidRDefault="00000000">
            <w:r>
              <w:t>ТОО «Q Engineering Group»</w:t>
            </w:r>
          </w:p>
        </w:tc>
      </w:tr>
      <w:tr w:rsidR="00226C18" w14:paraId="0B36DF56" w14:textId="77777777">
        <w:tc>
          <w:tcPr>
            <w:tcW w:w="4680" w:type="dxa"/>
          </w:tcPr>
          <w:p w14:paraId="5DC21E54" w14:textId="77777777" w:rsidR="00226C18" w:rsidRDefault="00000000">
            <w:r>
              <w:t>Разработчик экологических материалов</w:t>
            </w:r>
          </w:p>
        </w:tc>
        <w:tc>
          <w:tcPr>
            <w:tcW w:w="4680" w:type="dxa"/>
          </w:tcPr>
          <w:p w14:paraId="7B126197" w14:textId="77777777" w:rsidR="00226C18" w:rsidRDefault="00000000">
            <w:r>
              <w:t>ТОО «Q Eco Solutions»</w:t>
            </w:r>
          </w:p>
        </w:tc>
      </w:tr>
      <w:tr w:rsidR="00226C18" w:rsidRPr="007B7E49" w14:paraId="5E299D57" w14:textId="77777777">
        <w:tc>
          <w:tcPr>
            <w:tcW w:w="4680" w:type="dxa"/>
          </w:tcPr>
          <w:p w14:paraId="532294EC" w14:textId="77777777" w:rsidR="00226C18" w:rsidRDefault="00000000">
            <w:r>
              <w:t>Местоположение</w:t>
            </w:r>
          </w:p>
        </w:tc>
        <w:tc>
          <w:tcPr>
            <w:tcW w:w="4680" w:type="dxa"/>
          </w:tcPr>
          <w:p w14:paraId="70B801CA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Павлодарская область, Баянаульский район; 15 км к северо-востоку от с. Акмектеп, 84,6 км от г. Экибастуз, 133 км от г. Павлодар</w:t>
            </w:r>
          </w:p>
        </w:tc>
      </w:tr>
      <w:tr w:rsidR="00226C18" w:rsidRPr="007B7E49" w14:paraId="450D143A" w14:textId="77777777">
        <w:tc>
          <w:tcPr>
            <w:tcW w:w="4680" w:type="dxa"/>
          </w:tcPr>
          <w:p w14:paraId="7D85EF4A" w14:textId="77777777" w:rsidR="00226C18" w:rsidRDefault="00000000">
            <w:r>
              <w:t>Площадь участка</w:t>
            </w:r>
          </w:p>
        </w:tc>
        <w:tc>
          <w:tcPr>
            <w:tcW w:w="4680" w:type="dxa"/>
          </w:tcPr>
          <w:p w14:paraId="1639DE2D" w14:textId="01B61D49" w:rsidR="00226C18" w:rsidRPr="007B7E49" w:rsidRDefault="00000000" w:rsidP="007B7E49">
            <w:pPr>
              <w:pStyle w:val="a9"/>
              <w:rPr>
                <w:lang w:val="ru-RU"/>
              </w:rPr>
            </w:pPr>
            <w:r w:rsidRPr="007B7E49">
              <w:rPr>
                <w:lang w:val="ru-RU"/>
              </w:rPr>
              <w:t xml:space="preserve">736,2 га (кадастровый № 14:205:021:135), </w:t>
            </w:r>
            <w:r w:rsidR="007B7E49" w:rsidRPr="007B7E49">
              <w:rPr>
                <w:lang w:val="ru-RU"/>
              </w:rPr>
              <w:t>Земли промышленности, транспорта, связи, для нужд</w:t>
            </w:r>
            <w:r w:rsidR="007B7E49">
              <w:rPr>
                <w:lang w:val="ru-RU"/>
              </w:rPr>
              <w:t xml:space="preserve"> </w:t>
            </w:r>
            <w:r w:rsidR="007B7E49" w:rsidRPr="007B7E49">
              <w:rPr>
                <w:lang w:val="ru-RU"/>
              </w:rPr>
              <w:t>космической деятельности, обороны, национальной</w:t>
            </w:r>
            <w:r w:rsidR="007B7E49">
              <w:rPr>
                <w:lang w:val="ru-RU"/>
              </w:rPr>
              <w:t xml:space="preserve"> </w:t>
            </w:r>
            <w:r w:rsidR="007B7E49" w:rsidRPr="007B7E49">
              <w:rPr>
                <w:lang w:val="ru-RU"/>
              </w:rPr>
              <w:t>безопасности, зоны ядерной безопасности и иного</w:t>
            </w:r>
            <w:r w:rsidR="007B7E49">
              <w:rPr>
                <w:lang w:val="ru-RU"/>
              </w:rPr>
              <w:t xml:space="preserve"> </w:t>
            </w:r>
            <w:r w:rsidR="007B7E49" w:rsidRPr="007B7E49">
              <w:rPr>
                <w:lang w:val="ru-RU"/>
              </w:rPr>
              <w:t>несельскохозяйственного назначения</w:t>
            </w:r>
          </w:p>
        </w:tc>
      </w:tr>
      <w:tr w:rsidR="00226C18" w:rsidRPr="007B7E49" w14:paraId="52A580FD" w14:textId="77777777">
        <w:tc>
          <w:tcPr>
            <w:tcW w:w="4680" w:type="dxa"/>
          </w:tcPr>
          <w:p w14:paraId="21CDD189" w14:textId="77777777" w:rsidR="00226C18" w:rsidRDefault="00000000">
            <w:r>
              <w:t>Мощность</w:t>
            </w:r>
          </w:p>
        </w:tc>
        <w:tc>
          <w:tcPr>
            <w:tcW w:w="4680" w:type="dxa"/>
          </w:tcPr>
          <w:p w14:paraId="6FEC2DCA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до 500 000 т руды в год</w:t>
            </w:r>
          </w:p>
        </w:tc>
      </w:tr>
      <w:tr w:rsidR="00226C18" w:rsidRPr="007B7E49" w14:paraId="7E30C46F" w14:textId="77777777">
        <w:tc>
          <w:tcPr>
            <w:tcW w:w="4680" w:type="dxa"/>
          </w:tcPr>
          <w:p w14:paraId="32524540" w14:textId="77777777" w:rsidR="00226C18" w:rsidRDefault="00000000">
            <w:r>
              <w:t>Продукция</w:t>
            </w:r>
          </w:p>
        </w:tc>
        <w:tc>
          <w:tcPr>
            <w:tcW w:w="4680" w:type="dxa"/>
          </w:tcPr>
          <w:p w14:paraId="19376BD7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медно-свинцовый концентрат — 7 300 т/год; цинковый концентрат — 3 500 т/год</w:t>
            </w:r>
          </w:p>
        </w:tc>
      </w:tr>
      <w:tr w:rsidR="00226C18" w14:paraId="51C2E7E2" w14:textId="77777777">
        <w:tc>
          <w:tcPr>
            <w:tcW w:w="4680" w:type="dxa"/>
          </w:tcPr>
          <w:p w14:paraId="2FECD268" w14:textId="77777777" w:rsidR="00226C18" w:rsidRDefault="00000000">
            <w:r>
              <w:t>Срок строительства</w:t>
            </w:r>
          </w:p>
        </w:tc>
        <w:tc>
          <w:tcPr>
            <w:tcW w:w="4680" w:type="dxa"/>
          </w:tcPr>
          <w:p w14:paraId="2B50B1D4" w14:textId="77777777" w:rsidR="00226C18" w:rsidRDefault="00000000">
            <w:r>
              <w:t>10 месяцев</w:t>
            </w:r>
          </w:p>
        </w:tc>
      </w:tr>
      <w:tr w:rsidR="00226C18" w14:paraId="31F35422" w14:textId="77777777">
        <w:tc>
          <w:tcPr>
            <w:tcW w:w="4680" w:type="dxa"/>
          </w:tcPr>
          <w:p w14:paraId="3D46A916" w14:textId="77777777" w:rsidR="00226C18" w:rsidRDefault="00000000">
            <w:r>
              <w:t>Режим работы</w:t>
            </w:r>
          </w:p>
        </w:tc>
        <w:tc>
          <w:tcPr>
            <w:tcW w:w="4680" w:type="dxa"/>
          </w:tcPr>
          <w:p w14:paraId="5AD17E9E" w14:textId="77777777" w:rsidR="00226C18" w:rsidRDefault="00000000">
            <w:r>
              <w:t>круглосуточно, вахтовым методом</w:t>
            </w:r>
          </w:p>
        </w:tc>
      </w:tr>
      <w:tr w:rsidR="00226C18" w:rsidRPr="007B7E49" w14:paraId="18F93873" w14:textId="77777777">
        <w:tc>
          <w:tcPr>
            <w:tcW w:w="4680" w:type="dxa"/>
          </w:tcPr>
          <w:p w14:paraId="5EEF62EF" w14:textId="77777777" w:rsidR="00226C18" w:rsidRDefault="00000000">
            <w:r>
              <w:t>Категория объекта</w:t>
            </w:r>
          </w:p>
        </w:tc>
        <w:tc>
          <w:tcPr>
            <w:tcW w:w="4680" w:type="dxa"/>
          </w:tcPr>
          <w:p w14:paraId="20B348B6" w14:textId="77777777" w:rsidR="00226C18" w:rsidRPr="007B7E49" w:rsidRDefault="00000000">
            <w:pPr>
              <w:rPr>
                <w:lang w:val="ru-RU"/>
              </w:rPr>
            </w:pPr>
            <w:r>
              <w:t>I</w:t>
            </w:r>
            <w:r w:rsidRPr="007B7E49">
              <w:rPr>
                <w:lang w:val="ru-RU"/>
              </w:rPr>
              <w:t xml:space="preserve"> категория (добыча и обогащение твёрдых полезных ископаемых, Экологический кодекс РК)</w:t>
            </w:r>
          </w:p>
        </w:tc>
      </w:tr>
    </w:tbl>
    <w:p w14:paraId="2BF74E73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Площадка выбрана рядом с карьером, чтобы сократить перевозку руды. Участок находится в открытой степи, вне населённых пунктов. Ближайшие сёла: Акмектеп (15 км), Шоптыколь (32 км), Жамантуз (52 км); районный центр Баянаул — в 50 км.</w:t>
      </w:r>
    </w:p>
    <w:p w14:paraId="49894DDF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По данным уполномоченных органов, на участке нет скотомогильников, месторождений подземных вод, земель лесного фонда, особо охраняемых природных территорий и объектов историко-культурного наследия. Участок входит в резервный фонд охотничьего угодья «Майкаинское». Все производственные объекты размещены за пределами водоохранных зон реки Ащысу (500 м) и озера Шаган (300 м).</w:t>
      </w:r>
    </w:p>
    <w:p w14:paraId="337D316A" w14:textId="77777777" w:rsidR="00226C18" w:rsidRPr="007B7E49" w:rsidRDefault="00000000">
      <w:pPr>
        <w:pStyle w:val="2"/>
        <w:rPr>
          <w:lang w:val="ru-RU"/>
        </w:rPr>
      </w:pPr>
      <w:r w:rsidRPr="007B7E49">
        <w:rPr>
          <w:lang w:val="ru-RU"/>
        </w:rPr>
        <w:lastRenderedPageBreak/>
        <w:t>Что будет делать фабрика</w:t>
      </w:r>
    </w:p>
    <w:p w14:paraId="64DD7B55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Фабрика будет дробить и измельчать руду, а затем выделять из неё полезные минералы методом флотации (разделение в воде с помощью реагентов и воздушных пузырьков). Металлы на площадке не выплавляются — готовый продукт отгружается в виде концентратов в биг-бэгах.</w:t>
      </w:r>
    </w:p>
    <w:p w14:paraId="1FD16531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Руда из карьера привозится самосвалами на рудный склад и в приёмный бункер.</w:t>
      </w:r>
    </w:p>
    <w:p w14:paraId="3F23BF33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Дробление в три стадии — с кусков до 1 м до крупности менее 10–12 мм; материал перемещается закрытыми конвейерами.</w:t>
      </w:r>
    </w:p>
    <w:p w14:paraId="596ADC6B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Мокрое измельчение в шаровых мельницах до состояния пульпы (смеси тонкого порошка с водой).</w:t>
      </w:r>
    </w:p>
    <w:p w14:paraId="7396ED5A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Флотация: сначала выделяется медно-свинцовый концентрат, затем цинковый. Используются стандартные для отрасли реагенты: известь, ксантогенат, медный и цинковый купорос, сульфид и сульфит натрия, вспениватель, флокулянт.</w:t>
      </w:r>
    </w:p>
    <w:p w14:paraId="001C98E6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Концентраты сгущаются, фильтруются и упаковываются для отгрузки.</w:t>
      </w:r>
    </w:p>
    <w:p w14:paraId="64226520" w14:textId="77777777" w:rsidR="00226C18" w:rsidRPr="007B7E49" w:rsidRDefault="00000000">
      <w:pPr>
        <w:pStyle w:val="a4"/>
        <w:numPr>
          <w:ilvl w:val="0"/>
          <w:numId w:val="2"/>
        </w:numPr>
        <w:rPr>
          <w:lang w:val="ru-RU"/>
        </w:rPr>
      </w:pPr>
      <w:r w:rsidRPr="007B7E49">
        <w:rPr>
          <w:lang w:val="ru-RU"/>
        </w:rPr>
        <w:t>Пустая порода (хвосты, около 98% руды) по трубопроводу подаётся в хвостохранилище, а осветлённая вода возвращается на фабрику.</w:t>
      </w:r>
    </w:p>
    <w:p w14:paraId="168E77F6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В состав комплекса входят: вахтовый посёлок, административно-складская зона, рудный склад с дробильно-сортировочным комплексом, главный корпус фабрики, склады реагентов, лаборатория, угольная котельная (1,8 МВт), модульная АЗС, очистные сооружения и хвостохранилище.</w:t>
      </w:r>
    </w:p>
    <w:p w14:paraId="729CD97A" w14:textId="77777777" w:rsidR="00226C18" w:rsidRPr="007B7E49" w:rsidRDefault="00000000">
      <w:pPr>
        <w:rPr>
          <w:lang w:val="ru-RU"/>
        </w:rPr>
      </w:pPr>
      <w:r w:rsidRPr="007B7E49">
        <w:rPr>
          <w:b/>
          <w:lang w:val="ru-RU"/>
        </w:rPr>
        <w:t>Хвостохранилище</w:t>
      </w:r>
      <w:r w:rsidRPr="007B7E49">
        <w:rPr>
          <w:lang w:val="ru-RU"/>
        </w:rPr>
        <w:t xml:space="preserve"> — главный по масштабу объект. За 11 лет в нём будет размещено около 5 млн т хвостов (3,76 млн м³). Оно строится поэтапно: карта № 1 — к началу работы, карта № 2 — на 3-й год, наращивание и объединение карт — на 7-й год. Итоговая чаша — 28 га, вместимость 3,98 млн м³. Дно и откосы изолируются плёнкой-геомембраной на слое уплотнённого суглинка; сброс воды в реки и озёра не предусмотрен.</w:t>
      </w:r>
    </w:p>
    <w:p w14:paraId="0650179B" w14:textId="77777777" w:rsidR="00226C18" w:rsidRPr="007B7E49" w:rsidRDefault="00000000">
      <w:pPr>
        <w:pStyle w:val="2"/>
        <w:rPr>
          <w:lang w:val="ru-RU"/>
        </w:rPr>
      </w:pPr>
      <w:r w:rsidRPr="007B7E49">
        <w:rPr>
          <w:lang w:val="ru-RU"/>
        </w:rPr>
        <w:t>Состояние окружающей среды до начала работ</w:t>
      </w:r>
    </w:p>
    <w:p w14:paraId="49A65991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Территория сейчас не застроена, промышленных источников загрязнения на ней нет, и состояние среды соответствует природному фону.</w:t>
      </w:r>
    </w:p>
    <w:p w14:paraId="0DC6FBBA" w14:textId="77777777" w:rsidR="00226C18" w:rsidRPr="007B7E49" w:rsidRDefault="00000000">
      <w:pPr>
        <w:pStyle w:val="a4"/>
        <w:numPr>
          <w:ilvl w:val="0"/>
          <w:numId w:val="3"/>
        </w:numPr>
        <w:rPr>
          <w:lang w:val="ru-RU"/>
        </w:rPr>
      </w:pPr>
      <w:r w:rsidRPr="007B7E49">
        <w:rPr>
          <w:b/>
          <w:lang w:val="ru-RU"/>
        </w:rPr>
        <w:t>Климат.</w:t>
      </w:r>
      <w:r w:rsidRPr="007B7E49">
        <w:rPr>
          <w:lang w:val="ru-RU"/>
        </w:rPr>
        <w:t xml:space="preserve"> Резко континентальный: зимой до −39 °</w:t>
      </w:r>
      <w:r>
        <w:t>C</w:t>
      </w:r>
      <w:r w:rsidRPr="007B7E49">
        <w:rPr>
          <w:lang w:val="ru-RU"/>
        </w:rPr>
        <w:t>, летом до +38 °</w:t>
      </w:r>
      <w:r>
        <w:t>C</w:t>
      </w:r>
      <w:r w:rsidRPr="007B7E49">
        <w:rPr>
          <w:lang w:val="ru-RU"/>
        </w:rPr>
        <w:t>, осадков мало. Преобладают западные и юго-западные ветры, средняя скорость 3,6 м/с. Район отнесён к зоне с низким потенциалом загрязнения атмосферы — выбросы здесь хорошо рассеиваются.</w:t>
      </w:r>
    </w:p>
    <w:p w14:paraId="25B3BF33" w14:textId="77777777" w:rsidR="00226C18" w:rsidRPr="007B7E49" w:rsidRDefault="00000000">
      <w:pPr>
        <w:pStyle w:val="a4"/>
        <w:numPr>
          <w:ilvl w:val="0"/>
          <w:numId w:val="3"/>
        </w:numPr>
        <w:rPr>
          <w:lang w:val="ru-RU"/>
        </w:rPr>
      </w:pPr>
      <w:r w:rsidRPr="007B7E49">
        <w:rPr>
          <w:b/>
          <w:lang w:val="ru-RU"/>
        </w:rPr>
        <w:t>Воздух.</w:t>
      </w:r>
      <w:r w:rsidRPr="007B7E49">
        <w:rPr>
          <w:lang w:val="ru-RU"/>
        </w:rPr>
        <w:t xml:space="preserve"> Постов «Казгидромета» в районе нет. Уровень загрязнения оценивается как низкий; в сухую ветреную погоду возможна естественная запылённость.</w:t>
      </w:r>
    </w:p>
    <w:p w14:paraId="7BBADCF1" w14:textId="77777777" w:rsidR="00226C18" w:rsidRDefault="00000000">
      <w:pPr>
        <w:pStyle w:val="a4"/>
        <w:numPr>
          <w:ilvl w:val="0"/>
          <w:numId w:val="3"/>
        </w:numPr>
      </w:pPr>
      <w:r w:rsidRPr="007B7E49">
        <w:rPr>
          <w:b/>
          <w:lang w:val="ru-RU"/>
        </w:rPr>
        <w:t>Вода.</w:t>
      </w:r>
      <w:r w:rsidRPr="007B7E49">
        <w:rPr>
          <w:lang w:val="ru-RU"/>
        </w:rPr>
        <w:t xml:space="preserve"> Река Ащысу протекает севернее участка, южнее есть горько-солёное озеро; ближайший производственный объект находится в 1 060 м от реки. </w:t>
      </w:r>
      <w:r>
        <w:t>Месторождений подземных вод под участком нет.</w:t>
      </w:r>
    </w:p>
    <w:p w14:paraId="4ABB0C73" w14:textId="77777777" w:rsidR="00226C18" w:rsidRPr="007B7E49" w:rsidRDefault="00000000">
      <w:pPr>
        <w:pStyle w:val="a4"/>
        <w:numPr>
          <w:ilvl w:val="0"/>
          <w:numId w:val="3"/>
        </w:numPr>
        <w:rPr>
          <w:lang w:val="ru-RU"/>
        </w:rPr>
      </w:pPr>
      <w:r w:rsidRPr="007B7E49">
        <w:rPr>
          <w:b/>
          <w:lang w:val="ru-RU"/>
        </w:rPr>
        <w:t>Почвы.</w:t>
      </w:r>
      <w:r w:rsidRPr="007B7E49">
        <w:rPr>
          <w:lang w:val="ru-RU"/>
        </w:rPr>
        <w:t xml:space="preserve"> Супеси и суглинки, незасолённые; признаков техногенного загрязнения не выявлено.</w:t>
      </w:r>
    </w:p>
    <w:p w14:paraId="04D97E35" w14:textId="77777777" w:rsidR="00226C18" w:rsidRPr="007B7E49" w:rsidRDefault="00000000">
      <w:pPr>
        <w:pStyle w:val="a4"/>
        <w:numPr>
          <w:ilvl w:val="0"/>
          <w:numId w:val="3"/>
        </w:numPr>
        <w:rPr>
          <w:lang w:val="ru-RU"/>
        </w:rPr>
      </w:pPr>
      <w:r w:rsidRPr="007B7E49">
        <w:rPr>
          <w:b/>
          <w:lang w:val="ru-RU"/>
        </w:rPr>
        <w:t>Радиация.</w:t>
      </w:r>
      <w:r w:rsidRPr="007B7E49">
        <w:rPr>
          <w:lang w:val="ru-RU"/>
        </w:rPr>
        <w:t xml:space="preserve"> Измеренный фон 0,12–0,19 мкЗв/ч — естественный, ниже норматива 0,29 мкЗв/ч.</w:t>
      </w:r>
    </w:p>
    <w:p w14:paraId="26CB7658" w14:textId="77777777" w:rsidR="00226C18" w:rsidRDefault="00000000">
      <w:pPr>
        <w:pStyle w:val="a4"/>
        <w:numPr>
          <w:ilvl w:val="0"/>
          <w:numId w:val="3"/>
        </w:numPr>
      </w:pPr>
      <w:r w:rsidRPr="007B7E49">
        <w:rPr>
          <w:b/>
          <w:lang w:val="ru-RU"/>
        </w:rPr>
        <w:lastRenderedPageBreak/>
        <w:t>Растительность.</w:t>
      </w:r>
      <w:r w:rsidRPr="007B7E49">
        <w:rPr>
          <w:lang w:val="ru-RU"/>
        </w:rPr>
        <w:t xml:space="preserve"> Сухая ковыльно-типчаковая степь с полынью и караганой. </w:t>
      </w:r>
      <w:r>
        <w:t>Редких и краснокнижных растений на участке нет.</w:t>
      </w:r>
    </w:p>
    <w:p w14:paraId="6687E58F" w14:textId="77777777" w:rsidR="00226C18" w:rsidRPr="007B7E49" w:rsidRDefault="00000000">
      <w:pPr>
        <w:pStyle w:val="a4"/>
        <w:numPr>
          <w:ilvl w:val="0"/>
          <w:numId w:val="3"/>
        </w:numPr>
        <w:rPr>
          <w:lang w:val="ru-RU"/>
        </w:rPr>
      </w:pPr>
      <w:r w:rsidRPr="007B7E49">
        <w:rPr>
          <w:b/>
          <w:lang w:val="ru-RU"/>
        </w:rPr>
        <w:t>Животный мир.</w:t>
      </w:r>
      <w:r w:rsidRPr="007B7E49">
        <w:rPr>
          <w:lang w:val="ru-RU"/>
        </w:rPr>
        <w:t xml:space="preserve"> Типичные степные виды: суслики, тушканчики, корсаки, жаворонки, хищные птицы. По данным территориальной инспекции, краснокнижных животных на участке нет, путей миграции тоже.</w:t>
      </w:r>
    </w:p>
    <w:p w14:paraId="067E85C1" w14:textId="115037B8" w:rsidR="00226C18" w:rsidRPr="007B7E49" w:rsidRDefault="0061501F">
      <w:pPr>
        <w:pStyle w:val="2"/>
        <w:rPr>
          <w:lang w:val="ru-RU"/>
        </w:rPr>
      </w:pPr>
      <w:r>
        <w:rPr>
          <w:lang w:val="ru-RU"/>
        </w:rPr>
        <w:t>Воздействие</w:t>
      </w:r>
      <w:r w:rsidR="00000000" w:rsidRPr="007B7E49">
        <w:rPr>
          <w:lang w:val="ru-RU"/>
        </w:rPr>
        <w:t xml:space="preserve"> на окружающую среду</w:t>
      </w:r>
    </w:p>
    <w:p w14:paraId="3EDDF8AF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По расчётам проекта, воздействие укладывается в гигиенические нормативы и в основном ограничено территорией предприятия и его санитарно-защитной зоны (СЗЗ). СЗЗ для фабрики составляет 500 м, для хвостохранилища — 1 000 м; ближайшее село находится в 15 км.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226C18" w14:paraId="118D56D4" w14:textId="77777777">
        <w:trPr>
          <w:tblHeader/>
        </w:trPr>
        <w:tc>
          <w:tcPr>
            <w:tcW w:w="3120" w:type="dxa"/>
            <w:shd w:val="clear" w:color="auto" w:fill="F2F2F2"/>
          </w:tcPr>
          <w:p w14:paraId="649A148F" w14:textId="77777777" w:rsidR="00226C18" w:rsidRDefault="00000000">
            <w:r>
              <w:t>Компонент</w:t>
            </w:r>
          </w:p>
        </w:tc>
        <w:tc>
          <w:tcPr>
            <w:tcW w:w="3120" w:type="dxa"/>
            <w:shd w:val="clear" w:color="auto" w:fill="F2F2F2"/>
          </w:tcPr>
          <w:p w14:paraId="06139AA1" w14:textId="77777777" w:rsidR="00226C18" w:rsidRDefault="00000000">
            <w:r>
              <w:t>Что происходит</w:t>
            </w:r>
          </w:p>
        </w:tc>
        <w:tc>
          <w:tcPr>
            <w:tcW w:w="3120" w:type="dxa"/>
            <w:shd w:val="clear" w:color="auto" w:fill="F2F2F2"/>
          </w:tcPr>
          <w:p w14:paraId="391FBC73" w14:textId="77777777" w:rsidR="00226C18" w:rsidRDefault="00000000">
            <w:r>
              <w:t>Итог по проекту</w:t>
            </w:r>
          </w:p>
        </w:tc>
      </w:tr>
      <w:tr w:rsidR="00226C18" w:rsidRPr="007B7E49" w14:paraId="6F514D6C" w14:textId="77777777">
        <w:tc>
          <w:tcPr>
            <w:tcW w:w="3120" w:type="dxa"/>
          </w:tcPr>
          <w:p w14:paraId="7648CEB1" w14:textId="77777777" w:rsidR="00226C18" w:rsidRDefault="00000000">
            <w:r>
              <w:t>Воздух</w:t>
            </w:r>
          </w:p>
        </w:tc>
        <w:tc>
          <w:tcPr>
            <w:tcW w:w="3120" w:type="dxa"/>
          </w:tcPr>
          <w:p w14:paraId="622E47AC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33 источника выбросов (16 организованных, 17 неорганизованных), 33 вещества, всего 306,6 т/год. Основное — неорганическая пыль от дробления и пересыпки руды и дымовые газы угольной котельной</w:t>
            </w:r>
          </w:p>
        </w:tc>
        <w:tc>
          <w:tcPr>
            <w:tcW w:w="3120" w:type="dxa"/>
          </w:tcPr>
          <w:p w14:paraId="24807691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На границе СЗЗ не более 0,48 ПДК (диоксид азота) и 0,62 ПДК для группы азот + сера — в пределах нормы</w:t>
            </w:r>
          </w:p>
        </w:tc>
      </w:tr>
      <w:tr w:rsidR="00226C18" w:rsidRPr="007B7E49" w14:paraId="56ABE2B3" w14:textId="77777777">
        <w:tc>
          <w:tcPr>
            <w:tcW w:w="3120" w:type="dxa"/>
          </w:tcPr>
          <w:p w14:paraId="1D1423A5" w14:textId="77777777" w:rsidR="00226C18" w:rsidRDefault="00000000">
            <w:r>
              <w:t>Поверхностные и подземные воды</w:t>
            </w:r>
          </w:p>
        </w:tc>
        <w:tc>
          <w:tcPr>
            <w:tcW w:w="3120" w:type="dxa"/>
          </w:tcPr>
          <w:p w14:paraId="28A82AB6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Техническая вода — из скважин и карьерного водоотлива (около 1 000 м³/сут), питьевая — привозная (80 м³/сут). Около 3 200 м³/сут воды возвращается из хвостохранилища в оборот. Бытовые стоки очищаются на локальных очистных сооружениях и идут на полив и пылеподавление</w:t>
            </w:r>
          </w:p>
        </w:tc>
        <w:tc>
          <w:tcPr>
            <w:tcW w:w="3120" w:type="dxa"/>
          </w:tcPr>
          <w:p w14:paraId="567B63AE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Сбросов в реки, озёра и на рельеф нет; объекты вне водоохранных зон; ложе хвостохранилища изолировано</w:t>
            </w:r>
          </w:p>
        </w:tc>
      </w:tr>
      <w:tr w:rsidR="00226C18" w:rsidRPr="007B7E49" w14:paraId="543B93D1" w14:textId="77777777">
        <w:tc>
          <w:tcPr>
            <w:tcW w:w="3120" w:type="dxa"/>
          </w:tcPr>
          <w:p w14:paraId="1B24DABA" w14:textId="77777777" w:rsidR="00226C18" w:rsidRDefault="00000000">
            <w:r>
              <w:t>Отходы</w:t>
            </w:r>
          </w:p>
        </w:tc>
        <w:tc>
          <w:tcPr>
            <w:tcW w:w="3120" w:type="dxa"/>
          </w:tcPr>
          <w:p w14:paraId="6FE7C20C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До 489 499 т/год, из них 99,9% — хвосты обогащения. Прочие 38 видов отходов — около 299 т/год, в т.ч. опасных 32,4 т/год (масла, фильтры, аккумуляторы, ветошь)</w:t>
            </w:r>
          </w:p>
        </w:tc>
        <w:tc>
          <w:tcPr>
            <w:tcW w:w="3120" w:type="dxa"/>
          </w:tcPr>
          <w:p w14:paraId="290C3435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Хвосты — в изолированное хвостохранилище; остальное собирается раздельно и не позднее 6 месяцев передаётся лицензированным организациям</w:t>
            </w:r>
          </w:p>
        </w:tc>
      </w:tr>
      <w:tr w:rsidR="00226C18" w14:paraId="2ACEAEFB" w14:textId="77777777">
        <w:tc>
          <w:tcPr>
            <w:tcW w:w="3120" w:type="dxa"/>
          </w:tcPr>
          <w:p w14:paraId="0CA2AC78" w14:textId="77777777" w:rsidR="00226C18" w:rsidRDefault="00000000">
            <w:r>
              <w:t>Шум и вибрация</w:t>
            </w:r>
          </w:p>
        </w:tc>
        <w:tc>
          <w:tcPr>
            <w:tcW w:w="3120" w:type="dxa"/>
          </w:tcPr>
          <w:p w14:paraId="57BF2E84" w14:textId="77777777" w:rsidR="00226C18" w:rsidRDefault="00000000">
            <w:r>
              <w:t>Дробилки, грохоты, мельницы, самосвалы</w:t>
            </w:r>
          </w:p>
        </w:tc>
        <w:tc>
          <w:tcPr>
            <w:tcW w:w="3120" w:type="dxa"/>
          </w:tcPr>
          <w:p w14:paraId="5C685D43" w14:textId="77777777" w:rsidR="00226C18" w:rsidRDefault="00000000">
            <w:r w:rsidRPr="007B7E49">
              <w:rPr>
                <w:lang w:val="ru-RU"/>
              </w:rPr>
              <w:t xml:space="preserve">Около 37 дБА на границе СЗЗ при норме 55 дБА днём и 45 дБА ночью; у вахтового посёлка около 43 дБА (запас ночью всего 2 дБА). </w:t>
            </w:r>
            <w:r>
              <w:t xml:space="preserve">Вибрация </w:t>
            </w:r>
            <w:r>
              <w:lastRenderedPageBreak/>
              <w:t>затухает в пределах площадки</w:t>
            </w:r>
          </w:p>
        </w:tc>
      </w:tr>
      <w:tr w:rsidR="00226C18" w:rsidRPr="007B7E49" w14:paraId="6691641B" w14:textId="77777777">
        <w:tc>
          <w:tcPr>
            <w:tcW w:w="3120" w:type="dxa"/>
          </w:tcPr>
          <w:p w14:paraId="561B8C47" w14:textId="77777777" w:rsidR="00226C18" w:rsidRDefault="00000000">
            <w:r>
              <w:lastRenderedPageBreak/>
              <w:t>Радиация, тепло, электромагнитные поля</w:t>
            </w:r>
          </w:p>
        </w:tc>
        <w:tc>
          <w:tcPr>
            <w:tcW w:w="3120" w:type="dxa"/>
          </w:tcPr>
          <w:p w14:paraId="79E1695D" w14:textId="77777777" w:rsidR="00226C18" w:rsidRDefault="00000000">
            <w:r>
              <w:t>Новых источников радиации нет</w:t>
            </w:r>
          </w:p>
        </w:tc>
        <w:tc>
          <w:tcPr>
            <w:tcW w:w="3120" w:type="dxa"/>
          </w:tcPr>
          <w:p w14:paraId="5794125D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В пределах фона и нормативов</w:t>
            </w:r>
          </w:p>
        </w:tc>
      </w:tr>
      <w:tr w:rsidR="00226C18" w:rsidRPr="007B7E49" w14:paraId="4BDAE972" w14:textId="77777777">
        <w:tc>
          <w:tcPr>
            <w:tcW w:w="3120" w:type="dxa"/>
          </w:tcPr>
          <w:p w14:paraId="72BA5658" w14:textId="77777777" w:rsidR="00226C18" w:rsidRDefault="00000000">
            <w:r>
              <w:t>Земли и почвы</w:t>
            </w:r>
          </w:p>
        </w:tc>
        <w:tc>
          <w:tcPr>
            <w:tcW w:w="3120" w:type="dxa"/>
          </w:tcPr>
          <w:p w14:paraId="718F5571" w14:textId="77777777" w:rsidR="00226C18" w:rsidRDefault="00000000">
            <w:r w:rsidRPr="007B7E49">
              <w:rPr>
                <w:lang w:val="ru-RU"/>
              </w:rPr>
              <w:t xml:space="preserve">Под зданиями, дорогами и хвостохранилищем почва на время работы утрачивается. </w:t>
            </w:r>
            <w:r>
              <w:t>Плодородный слой (0,2 м) снимается и складируется для рекультивации</w:t>
            </w:r>
          </w:p>
        </w:tc>
        <w:tc>
          <w:tcPr>
            <w:tcW w:w="3120" w:type="dxa"/>
          </w:tcPr>
          <w:p w14:paraId="22CDCA69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Локальное, долговременное; после закрытия — техническая и биологическая рекультивация</w:t>
            </w:r>
          </w:p>
        </w:tc>
      </w:tr>
      <w:tr w:rsidR="00226C18" w:rsidRPr="007B7E49" w14:paraId="3F7BF1FF" w14:textId="77777777">
        <w:tc>
          <w:tcPr>
            <w:tcW w:w="3120" w:type="dxa"/>
          </w:tcPr>
          <w:p w14:paraId="283AA94F" w14:textId="77777777" w:rsidR="00226C18" w:rsidRDefault="00000000">
            <w:r>
              <w:t>Растительность и животные</w:t>
            </w:r>
          </w:p>
        </w:tc>
        <w:tc>
          <w:tcPr>
            <w:tcW w:w="3120" w:type="dxa"/>
          </w:tcPr>
          <w:p w14:paraId="6D7E0EF1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Утрата степной растительности под объектами, запыление, фактор беспокойства от техники и шума; животные уходят с участка</w:t>
            </w:r>
          </w:p>
        </w:tc>
        <w:tc>
          <w:tcPr>
            <w:tcW w:w="3120" w:type="dxa"/>
          </w:tcPr>
          <w:p w14:paraId="18102C30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Локальное и умеренное; редкие виды и пути миграции не затрагиваются</w:t>
            </w:r>
          </w:p>
        </w:tc>
      </w:tr>
    </w:tbl>
    <w:p w14:paraId="10FFA532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Основные вещества в выбросах (из 306,6 т/год):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226C18" w14:paraId="60569C4E" w14:textId="77777777">
        <w:trPr>
          <w:tblHeader/>
        </w:trPr>
        <w:tc>
          <w:tcPr>
            <w:tcW w:w="3120" w:type="dxa"/>
            <w:shd w:val="clear" w:color="auto" w:fill="F2F2F2"/>
          </w:tcPr>
          <w:p w14:paraId="3A7135AC" w14:textId="77777777" w:rsidR="00226C18" w:rsidRDefault="00000000">
            <w:r>
              <w:t>Вещество</w:t>
            </w:r>
          </w:p>
        </w:tc>
        <w:tc>
          <w:tcPr>
            <w:tcW w:w="3120" w:type="dxa"/>
            <w:shd w:val="clear" w:color="auto" w:fill="F2F2F2"/>
          </w:tcPr>
          <w:p w14:paraId="2424DE67" w14:textId="77777777" w:rsidR="00226C18" w:rsidRDefault="00000000">
            <w:r>
              <w:t>Выброс, т/год</w:t>
            </w:r>
          </w:p>
        </w:tc>
        <w:tc>
          <w:tcPr>
            <w:tcW w:w="3120" w:type="dxa"/>
            <w:shd w:val="clear" w:color="auto" w:fill="F2F2F2"/>
          </w:tcPr>
          <w:p w14:paraId="3574E3DE" w14:textId="77777777" w:rsidR="00226C18" w:rsidRDefault="00000000">
            <w:r>
              <w:t>Доля</w:t>
            </w:r>
          </w:p>
        </w:tc>
      </w:tr>
      <w:tr w:rsidR="00226C18" w14:paraId="1E763354" w14:textId="77777777">
        <w:tc>
          <w:tcPr>
            <w:tcW w:w="3120" w:type="dxa"/>
          </w:tcPr>
          <w:p w14:paraId="75B7424F" w14:textId="77777777" w:rsidR="00226C18" w:rsidRDefault="00000000">
            <w:r>
              <w:t>Пыль неорганическая (двуокись кремния 20–70%)</w:t>
            </w:r>
          </w:p>
        </w:tc>
        <w:tc>
          <w:tcPr>
            <w:tcW w:w="3120" w:type="dxa"/>
          </w:tcPr>
          <w:p w14:paraId="1277D912" w14:textId="77777777" w:rsidR="00226C18" w:rsidRDefault="00000000">
            <w:r>
              <w:t>215,3</w:t>
            </w:r>
          </w:p>
        </w:tc>
        <w:tc>
          <w:tcPr>
            <w:tcW w:w="3120" w:type="dxa"/>
          </w:tcPr>
          <w:p w14:paraId="1ACF517F" w14:textId="77777777" w:rsidR="00226C18" w:rsidRDefault="00000000">
            <w:r>
              <w:t>70%</w:t>
            </w:r>
          </w:p>
        </w:tc>
      </w:tr>
      <w:tr w:rsidR="00226C18" w14:paraId="571AEFB7" w14:textId="77777777">
        <w:tc>
          <w:tcPr>
            <w:tcW w:w="3120" w:type="dxa"/>
          </w:tcPr>
          <w:p w14:paraId="379BEE37" w14:textId="77777777" w:rsidR="00226C18" w:rsidRDefault="00000000">
            <w:r>
              <w:t>Диоксид серы</w:t>
            </w:r>
          </w:p>
        </w:tc>
        <w:tc>
          <w:tcPr>
            <w:tcW w:w="3120" w:type="dxa"/>
          </w:tcPr>
          <w:p w14:paraId="740E7F81" w14:textId="77777777" w:rsidR="00226C18" w:rsidRDefault="00000000">
            <w:r>
              <w:t>52,1</w:t>
            </w:r>
          </w:p>
        </w:tc>
        <w:tc>
          <w:tcPr>
            <w:tcW w:w="3120" w:type="dxa"/>
          </w:tcPr>
          <w:p w14:paraId="6B3E7BA9" w14:textId="77777777" w:rsidR="00226C18" w:rsidRDefault="00000000">
            <w:r>
              <w:t>17%</w:t>
            </w:r>
          </w:p>
        </w:tc>
      </w:tr>
      <w:tr w:rsidR="00226C18" w14:paraId="10054BD4" w14:textId="77777777">
        <w:tc>
          <w:tcPr>
            <w:tcW w:w="3120" w:type="dxa"/>
          </w:tcPr>
          <w:p w14:paraId="3F6B19EB" w14:textId="77777777" w:rsidR="00226C18" w:rsidRDefault="00000000">
            <w:r>
              <w:t>Оксид углерода</w:t>
            </w:r>
          </w:p>
        </w:tc>
        <w:tc>
          <w:tcPr>
            <w:tcW w:w="3120" w:type="dxa"/>
          </w:tcPr>
          <w:p w14:paraId="0ACE2F6E" w14:textId="77777777" w:rsidR="00226C18" w:rsidRDefault="00000000">
            <w:r>
              <w:t>25,0</w:t>
            </w:r>
          </w:p>
        </w:tc>
        <w:tc>
          <w:tcPr>
            <w:tcW w:w="3120" w:type="dxa"/>
          </w:tcPr>
          <w:p w14:paraId="22FE4762" w14:textId="77777777" w:rsidR="00226C18" w:rsidRDefault="00000000">
            <w:r>
              <w:t>8%</w:t>
            </w:r>
          </w:p>
        </w:tc>
      </w:tr>
      <w:tr w:rsidR="00226C18" w14:paraId="3E06F685" w14:textId="77777777">
        <w:tc>
          <w:tcPr>
            <w:tcW w:w="3120" w:type="dxa"/>
          </w:tcPr>
          <w:p w14:paraId="363AB399" w14:textId="77777777" w:rsidR="00226C18" w:rsidRDefault="00000000">
            <w:r>
              <w:t>Диоксид и оксид азота</w:t>
            </w:r>
          </w:p>
        </w:tc>
        <w:tc>
          <w:tcPr>
            <w:tcW w:w="3120" w:type="dxa"/>
          </w:tcPr>
          <w:p w14:paraId="0508B52D" w14:textId="77777777" w:rsidR="00226C18" w:rsidRDefault="00000000">
            <w:r>
              <w:t>8,8</w:t>
            </w:r>
          </w:p>
        </w:tc>
        <w:tc>
          <w:tcPr>
            <w:tcW w:w="3120" w:type="dxa"/>
          </w:tcPr>
          <w:p w14:paraId="3A1B227D" w14:textId="77777777" w:rsidR="00226C18" w:rsidRDefault="00000000">
            <w:r>
              <w:t>3%</w:t>
            </w:r>
          </w:p>
        </w:tc>
      </w:tr>
      <w:tr w:rsidR="00226C18" w14:paraId="1931FCBE" w14:textId="77777777">
        <w:tc>
          <w:tcPr>
            <w:tcW w:w="3120" w:type="dxa"/>
          </w:tcPr>
          <w:p w14:paraId="2C2C0F61" w14:textId="77777777" w:rsidR="00226C18" w:rsidRDefault="00000000">
            <w:r>
              <w:t>Прочие 29 веществ</w:t>
            </w:r>
          </w:p>
        </w:tc>
        <w:tc>
          <w:tcPr>
            <w:tcW w:w="3120" w:type="dxa"/>
          </w:tcPr>
          <w:p w14:paraId="3156C585" w14:textId="77777777" w:rsidR="00226C18" w:rsidRDefault="00000000">
            <w:r>
              <w:t>5,3</w:t>
            </w:r>
          </w:p>
        </w:tc>
        <w:tc>
          <w:tcPr>
            <w:tcW w:w="3120" w:type="dxa"/>
          </w:tcPr>
          <w:p w14:paraId="68E44B84" w14:textId="77777777" w:rsidR="00226C18" w:rsidRDefault="00000000">
            <w:r>
              <w:t>2%</w:t>
            </w:r>
          </w:p>
        </w:tc>
      </w:tr>
    </w:tbl>
    <w:p w14:paraId="2DB9CD2E" w14:textId="77777777" w:rsidR="00226C18" w:rsidRDefault="00000000">
      <w:pPr>
        <w:pStyle w:val="2"/>
      </w:pPr>
      <w:r>
        <w:t>Социально-экономические последствия</w:t>
      </w:r>
    </w:p>
    <w:p w14:paraId="4C01347A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Проект создаёт более 150 новых рабочих мест (штат по расчётам программы отходов — 222 человека), налоговые поступления в бюджет и развитие местной инфраструктуры. Работа ведётся вахтовым методом, персонал живёт в вахтовом посёлке на площадке.</w:t>
      </w:r>
    </w:p>
    <w:p w14:paraId="65471332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Ближайшее село Акмектеп (149 жителей) находится в 15 км — далеко за пределами СЗЗ, поэтому ухудшения условий проживания не ожидается. Участок не затрагивает Баянаульский национальный парк и туристические зоны. Проект предлагает приоритетно нанимать местных жителей и регулярно информировать общественность о работе фабрики и результатах экологического мониторинга.</w:t>
      </w:r>
    </w:p>
    <w:p w14:paraId="72B84E10" w14:textId="77777777" w:rsidR="00226C18" w:rsidRPr="007B7E49" w:rsidRDefault="00000000">
      <w:pPr>
        <w:pStyle w:val="2"/>
        <w:rPr>
          <w:lang w:val="ru-RU"/>
        </w:rPr>
      </w:pPr>
      <w:r w:rsidRPr="007B7E49">
        <w:rPr>
          <w:lang w:val="ru-RU"/>
        </w:rPr>
        <w:lastRenderedPageBreak/>
        <w:t>Меры по снижению воздействия и контроль</w:t>
      </w:r>
    </w:p>
    <w:p w14:paraId="2397A10B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Проект строится на трёх принципах: не дать пыли уйти с площадки, не сбрасывать воду в природу и изолировать хвосты от почвы и подземных вод. План природоохранных мероприятий рассчитан на 2027–2036 годы и финансируется из собственных средств предприятия.</w:t>
      </w:r>
    </w:p>
    <w:p w14:paraId="0B09E5C3" w14:textId="77777777" w:rsidR="00226C18" w:rsidRDefault="00000000">
      <w:r>
        <w:rPr>
          <w:b/>
        </w:rPr>
        <w:t>Основные меры:</w:t>
      </w:r>
    </w:p>
    <w:p w14:paraId="15C01740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закрытые конвейеры, аспирация с пылеуловителями (циклоны, рукавные фильтры) и водяной туман на узлах дробления и пересыпки;</w:t>
      </w:r>
    </w:p>
    <w:p w14:paraId="0548A894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мокрое измельчение и флотация в закрытых ёмкостях; реагенты хранятся в заводской упаковке на оборудованных складах;</w:t>
      </w:r>
    </w:p>
    <w:p w14:paraId="4F77DD54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орошение дорог и поверхности хвостохранилища, озеленение территории;</w:t>
      </w:r>
    </w:p>
    <w:p w14:paraId="4472B5C2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замкнутый водооборот и повторное использование очищенных бытовых стоков;</w:t>
      </w:r>
    </w:p>
    <w:p w14:paraId="7FB3AFEF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геомембрана в ложе хвостохранилища, аварийный пруд, наблюдение за дамбами;</w:t>
      </w:r>
    </w:p>
    <w:p w14:paraId="2B716993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раздельный сбор отходов и передача их лицензированным организациям;</w:t>
      </w:r>
    </w:p>
    <w:p w14:paraId="38EBE8B8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снятие и сохранение плодородного слоя, движение техники только по дорогам, запрет охоты для персонала;</w:t>
      </w:r>
    </w:p>
    <w:p w14:paraId="4D4BBD26" w14:textId="77777777" w:rsidR="00226C18" w:rsidRPr="007B7E49" w:rsidRDefault="00000000">
      <w:pPr>
        <w:pStyle w:val="a4"/>
        <w:numPr>
          <w:ilvl w:val="0"/>
          <w:numId w:val="4"/>
        </w:numPr>
        <w:rPr>
          <w:lang w:val="ru-RU"/>
        </w:rPr>
      </w:pPr>
      <w:r w:rsidRPr="007B7E49">
        <w:rPr>
          <w:lang w:val="ru-RU"/>
        </w:rPr>
        <w:t>после завершения работ — рекультивация хвостохранилища и нарушенных земель (планировка, засыпка плодородным слоем, посев трав).</w:t>
      </w:r>
    </w:p>
    <w:p w14:paraId="6DA440A1" w14:textId="77777777" w:rsidR="00226C18" w:rsidRDefault="00000000">
      <w:r w:rsidRPr="007B7E49">
        <w:rPr>
          <w:b/>
          <w:lang w:val="ru-RU"/>
        </w:rPr>
        <w:t>Экологический контроль.</w:t>
      </w:r>
      <w:r w:rsidRPr="007B7E49">
        <w:rPr>
          <w:lang w:val="ru-RU"/>
        </w:rPr>
        <w:t xml:space="preserve"> Предприятие само ведёт наблюдения и сдаёт отчёты ежеквартально. </w:t>
      </w:r>
      <w:r>
        <w:t>Размер СЗЗ после запуска подтверждается натурными замерами.</w:t>
      </w:r>
    </w:p>
    <w:tbl>
      <w:tblPr>
        <w:tblStyle w:val="a8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226C18" w14:paraId="14C51B3A" w14:textId="77777777">
        <w:trPr>
          <w:tblHeader/>
        </w:trPr>
        <w:tc>
          <w:tcPr>
            <w:tcW w:w="3120" w:type="dxa"/>
            <w:shd w:val="clear" w:color="auto" w:fill="F2F2F2"/>
          </w:tcPr>
          <w:p w14:paraId="51505AEC" w14:textId="77777777" w:rsidR="00226C18" w:rsidRDefault="00000000">
            <w:r>
              <w:t>Что контролируется</w:t>
            </w:r>
          </w:p>
        </w:tc>
        <w:tc>
          <w:tcPr>
            <w:tcW w:w="3120" w:type="dxa"/>
            <w:shd w:val="clear" w:color="auto" w:fill="F2F2F2"/>
          </w:tcPr>
          <w:p w14:paraId="12BCE215" w14:textId="77777777" w:rsidR="00226C18" w:rsidRDefault="00000000">
            <w:r>
              <w:t>Где</w:t>
            </w:r>
          </w:p>
        </w:tc>
        <w:tc>
          <w:tcPr>
            <w:tcW w:w="3120" w:type="dxa"/>
            <w:shd w:val="clear" w:color="auto" w:fill="F2F2F2"/>
          </w:tcPr>
          <w:p w14:paraId="733A0B01" w14:textId="77777777" w:rsidR="00226C18" w:rsidRDefault="00000000">
            <w:r>
              <w:t>Как часто</w:t>
            </w:r>
          </w:p>
        </w:tc>
      </w:tr>
      <w:tr w:rsidR="00226C18" w14:paraId="6A9D885B" w14:textId="77777777">
        <w:tc>
          <w:tcPr>
            <w:tcW w:w="3120" w:type="dxa"/>
          </w:tcPr>
          <w:p w14:paraId="68B24F44" w14:textId="77777777" w:rsidR="00226C18" w:rsidRDefault="00000000">
            <w:r>
              <w:t>Выбросы пыли и газов</w:t>
            </w:r>
          </w:p>
        </w:tc>
        <w:tc>
          <w:tcPr>
            <w:tcW w:w="3120" w:type="dxa"/>
          </w:tcPr>
          <w:p w14:paraId="1B97E3AF" w14:textId="77777777" w:rsidR="00226C18" w:rsidRDefault="00000000">
            <w:r>
              <w:t>аспирационные системы ДСК, котельная</w:t>
            </w:r>
          </w:p>
        </w:tc>
        <w:tc>
          <w:tcPr>
            <w:tcW w:w="3120" w:type="dxa"/>
          </w:tcPr>
          <w:p w14:paraId="2D066D58" w14:textId="77777777" w:rsidR="00226C18" w:rsidRDefault="00000000">
            <w:r>
              <w:t>1 раз в квартал</w:t>
            </w:r>
          </w:p>
        </w:tc>
      </w:tr>
      <w:tr w:rsidR="00226C18" w14:paraId="1D1E8971" w14:textId="77777777">
        <w:tc>
          <w:tcPr>
            <w:tcW w:w="3120" w:type="dxa"/>
          </w:tcPr>
          <w:p w14:paraId="3884FE86" w14:textId="77777777" w:rsidR="00226C18" w:rsidRDefault="00000000">
            <w:r>
              <w:t>Качество воздуха</w:t>
            </w:r>
          </w:p>
        </w:tc>
        <w:tc>
          <w:tcPr>
            <w:tcW w:w="3120" w:type="dxa"/>
          </w:tcPr>
          <w:p w14:paraId="612530FF" w14:textId="77777777" w:rsidR="00226C18" w:rsidRDefault="00000000">
            <w:r>
              <w:t>граница СЗЗ</w:t>
            </w:r>
          </w:p>
        </w:tc>
        <w:tc>
          <w:tcPr>
            <w:tcW w:w="3120" w:type="dxa"/>
          </w:tcPr>
          <w:p w14:paraId="6AD58A10" w14:textId="77777777" w:rsidR="00226C18" w:rsidRDefault="00000000">
            <w:r>
              <w:t>по графику программы контроля</w:t>
            </w:r>
          </w:p>
        </w:tc>
      </w:tr>
      <w:tr w:rsidR="00226C18" w14:paraId="16039275" w14:textId="77777777">
        <w:tc>
          <w:tcPr>
            <w:tcW w:w="3120" w:type="dxa"/>
          </w:tcPr>
          <w:p w14:paraId="378B70D2" w14:textId="77777777" w:rsidR="00226C18" w:rsidRDefault="00000000">
            <w:r>
              <w:t>Подземные воды</w:t>
            </w:r>
          </w:p>
        </w:tc>
        <w:tc>
          <w:tcPr>
            <w:tcW w:w="3120" w:type="dxa"/>
          </w:tcPr>
          <w:p w14:paraId="7B73E7AD" w14:textId="77777777" w:rsidR="00226C18" w:rsidRDefault="00000000">
            <w:r>
              <w:t>4 наблюдательные скважины у хвостохранилища</w:t>
            </w:r>
          </w:p>
        </w:tc>
        <w:tc>
          <w:tcPr>
            <w:tcW w:w="3120" w:type="dxa"/>
          </w:tcPr>
          <w:p w14:paraId="288BCB50" w14:textId="77777777" w:rsidR="00226C18" w:rsidRDefault="00000000">
            <w:r>
              <w:t>уровень — ежемесячно, состав — ежеквартально</w:t>
            </w:r>
          </w:p>
        </w:tc>
      </w:tr>
      <w:tr w:rsidR="00226C18" w14:paraId="320AEE51" w14:textId="77777777">
        <w:tc>
          <w:tcPr>
            <w:tcW w:w="3120" w:type="dxa"/>
          </w:tcPr>
          <w:p w14:paraId="2216568A" w14:textId="77777777" w:rsidR="00226C18" w:rsidRDefault="00000000">
            <w:r>
              <w:t>Очищенные стоки</w:t>
            </w:r>
          </w:p>
        </w:tc>
        <w:tc>
          <w:tcPr>
            <w:tcW w:w="3120" w:type="dxa"/>
          </w:tcPr>
          <w:p w14:paraId="4E02C346" w14:textId="77777777" w:rsidR="00226C18" w:rsidRDefault="00000000">
            <w:r>
              <w:t>выход локальных очистных сооружений</w:t>
            </w:r>
          </w:p>
        </w:tc>
        <w:tc>
          <w:tcPr>
            <w:tcW w:w="3120" w:type="dxa"/>
          </w:tcPr>
          <w:p w14:paraId="5B0A37C9" w14:textId="77777777" w:rsidR="00226C18" w:rsidRDefault="00000000">
            <w:r>
              <w:t>ежемесячно</w:t>
            </w:r>
          </w:p>
        </w:tc>
      </w:tr>
      <w:tr w:rsidR="00226C18" w:rsidRPr="007B7E49" w14:paraId="0264A801" w14:textId="77777777">
        <w:tc>
          <w:tcPr>
            <w:tcW w:w="3120" w:type="dxa"/>
          </w:tcPr>
          <w:p w14:paraId="68655A29" w14:textId="77777777" w:rsidR="00226C18" w:rsidRDefault="00000000">
            <w:r>
              <w:t>Устойчивость дамб</w:t>
            </w:r>
          </w:p>
        </w:tc>
        <w:tc>
          <w:tcPr>
            <w:tcW w:w="3120" w:type="dxa"/>
          </w:tcPr>
          <w:p w14:paraId="1340D4B4" w14:textId="77777777" w:rsidR="00226C18" w:rsidRDefault="00000000">
            <w:r>
              <w:t>дамбы хвостохранилища</w:t>
            </w:r>
          </w:p>
        </w:tc>
        <w:tc>
          <w:tcPr>
            <w:tcW w:w="3120" w:type="dxa"/>
          </w:tcPr>
          <w:p w14:paraId="392CAFE5" w14:textId="77777777" w:rsidR="00226C18" w:rsidRPr="007B7E49" w:rsidRDefault="00000000">
            <w:pPr>
              <w:rPr>
                <w:lang w:val="ru-RU"/>
              </w:rPr>
            </w:pPr>
            <w:r w:rsidRPr="007B7E49">
              <w:rPr>
                <w:lang w:val="ru-RU"/>
              </w:rPr>
              <w:t>ежемесячно (после первого года осадки — ежеквартально)</w:t>
            </w:r>
          </w:p>
        </w:tc>
      </w:tr>
      <w:tr w:rsidR="00226C18" w14:paraId="08C3CD0C" w14:textId="77777777">
        <w:tc>
          <w:tcPr>
            <w:tcW w:w="3120" w:type="dxa"/>
          </w:tcPr>
          <w:p w14:paraId="6A8DF099" w14:textId="77777777" w:rsidR="00226C18" w:rsidRDefault="00000000">
            <w:r>
              <w:t>Почвы</w:t>
            </w:r>
          </w:p>
        </w:tc>
        <w:tc>
          <w:tcPr>
            <w:tcW w:w="3120" w:type="dxa"/>
          </w:tcPr>
          <w:p w14:paraId="62540D4D" w14:textId="77777777" w:rsidR="00226C18" w:rsidRDefault="00000000">
            <w:r>
              <w:t>СЗЗ и прилегающая территория</w:t>
            </w:r>
          </w:p>
        </w:tc>
        <w:tc>
          <w:tcPr>
            <w:tcW w:w="3120" w:type="dxa"/>
          </w:tcPr>
          <w:p w14:paraId="4D8F2D25" w14:textId="77777777" w:rsidR="00226C18" w:rsidRDefault="00000000">
            <w:r>
              <w:t>1 раз в год</w:t>
            </w:r>
          </w:p>
        </w:tc>
      </w:tr>
      <w:tr w:rsidR="00226C18" w14:paraId="50775B3F" w14:textId="77777777">
        <w:tc>
          <w:tcPr>
            <w:tcW w:w="3120" w:type="dxa"/>
          </w:tcPr>
          <w:p w14:paraId="5A9DE859" w14:textId="77777777" w:rsidR="00226C18" w:rsidRDefault="00000000">
            <w:r>
              <w:t>Шум, радиационный фон</w:t>
            </w:r>
          </w:p>
        </w:tc>
        <w:tc>
          <w:tcPr>
            <w:tcW w:w="3120" w:type="dxa"/>
          </w:tcPr>
          <w:p w14:paraId="76E797DD" w14:textId="77777777" w:rsidR="00226C18" w:rsidRDefault="00000000">
            <w:r>
              <w:t>граница СЗЗ, вахтовый посёлок</w:t>
            </w:r>
          </w:p>
        </w:tc>
        <w:tc>
          <w:tcPr>
            <w:tcW w:w="3120" w:type="dxa"/>
          </w:tcPr>
          <w:p w14:paraId="2DB9EAF4" w14:textId="77777777" w:rsidR="00226C18" w:rsidRDefault="00000000">
            <w:r>
              <w:t>1 раз в год</w:t>
            </w:r>
          </w:p>
        </w:tc>
      </w:tr>
    </w:tbl>
    <w:p w14:paraId="0DF45A1B" w14:textId="77777777" w:rsidR="00226C18" w:rsidRPr="007B7E49" w:rsidRDefault="00000000">
      <w:pPr>
        <w:rPr>
          <w:lang w:val="ru-RU"/>
        </w:rPr>
      </w:pPr>
      <w:r w:rsidRPr="007B7E49">
        <w:rPr>
          <w:b/>
          <w:lang w:val="ru-RU"/>
        </w:rPr>
        <w:t>Аварийные ситуации.</w:t>
      </w:r>
      <w:r w:rsidRPr="007B7E49">
        <w:rPr>
          <w:lang w:val="ru-RU"/>
        </w:rPr>
        <w:t xml:space="preserve"> Рассмотрены проливы реагентов и топлива, отказ пылеуловителей, утечки или нарушение устойчивости дамб, пожар, а также природные явления (сильные морозы, </w:t>
      </w:r>
      <w:r w:rsidRPr="007B7E49">
        <w:rPr>
          <w:lang w:val="ru-RU"/>
        </w:rPr>
        <w:lastRenderedPageBreak/>
        <w:t>пыльные бури, ливни). Для каждого случая предусмотрены меры предотвращения и ликвидации; в периоды неблагоприятной погоды вводится режим снижения выбросов. Район несейсмичен.</w:t>
      </w:r>
    </w:p>
    <w:p w14:paraId="72316598" w14:textId="77777777" w:rsidR="00226C18" w:rsidRPr="007B7E49" w:rsidRDefault="00000000">
      <w:pPr>
        <w:pStyle w:val="2"/>
        <w:rPr>
          <w:lang w:val="ru-RU"/>
        </w:rPr>
      </w:pPr>
      <w:r w:rsidRPr="007B7E49">
        <w:rPr>
          <w:lang w:val="ru-RU"/>
        </w:rPr>
        <w:t>Выводы</w:t>
      </w:r>
    </w:p>
    <w:p w14:paraId="6C13635D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При соблюдении проектных решений фабрика не приведёт к превышению гигиенических нормативов за пределами санитарно-защитной зоны, а её воздействие оценивается как допустимое.</w:t>
      </w:r>
    </w:p>
    <w:p w14:paraId="3ED7DD66" w14:textId="77777777" w:rsidR="00226C18" w:rsidRPr="007B7E49" w:rsidRDefault="00000000">
      <w:pPr>
        <w:pStyle w:val="a4"/>
        <w:numPr>
          <w:ilvl w:val="0"/>
          <w:numId w:val="5"/>
        </w:numPr>
        <w:rPr>
          <w:lang w:val="ru-RU"/>
        </w:rPr>
      </w:pPr>
      <w:r w:rsidRPr="007B7E49">
        <w:rPr>
          <w:lang w:val="ru-RU"/>
        </w:rPr>
        <w:t>Концентрации загрязняющих веществ на границе СЗЗ не превышают 0,62 ПДК, шум — заметно ниже нормы.</w:t>
      </w:r>
    </w:p>
    <w:p w14:paraId="7A555A35" w14:textId="77777777" w:rsidR="00226C18" w:rsidRPr="007B7E49" w:rsidRDefault="00000000">
      <w:pPr>
        <w:pStyle w:val="a4"/>
        <w:numPr>
          <w:ilvl w:val="0"/>
          <w:numId w:val="5"/>
        </w:numPr>
        <w:rPr>
          <w:lang w:val="ru-RU"/>
        </w:rPr>
      </w:pPr>
      <w:r w:rsidRPr="007B7E49">
        <w:rPr>
          <w:lang w:val="ru-RU"/>
        </w:rPr>
        <w:t>Вода не сбрасывается в реки и озёра, большая её часть используется повторно.</w:t>
      </w:r>
    </w:p>
    <w:p w14:paraId="3772A063" w14:textId="77777777" w:rsidR="00226C18" w:rsidRPr="007B7E49" w:rsidRDefault="00000000">
      <w:pPr>
        <w:pStyle w:val="a4"/>
        <w:numPr>
          <w:ilvl w:val="0"/>
          <w:numId w:val="5"/>
        </w:numPr>
        <w:rPr>
          <w:lang w:val="ru-RU"/>
        </w:rPr>
      </w:pPr>
      <w:r w:rsidRPr="007B7E49">
        <w:rPr>
          <w:lang w:val="ru-RU"/>
        </w:rPr>
        <w:t>Хвосты размещаются в изолированном хвостохранилище под постоянным наблюдением, остальные отходы вывозятся специализированными организациями.</w:t>
      </w:r>
    </w:p>
    <w:p w14:paraId="437FB6A1" w14:textId="77777777" w:rsidR="00226C18" w:rsidRPr="007B7E49" w:rsidRDefault="00000000">
      <w:pPr>
        <w:pStyle w:val="a4"/>
        <w:numPr>
          <w:ilvl w:val="0"/>
          <w:numId w:val="5"/>
        </w:numPr>
        <w:rPr>
          <w:lang w:val="ru-RU"/>
        </w:rPr>
      </w:pPr>
      <w:r w:rsidRPr="007B7E49">
        <w:rPr>
          <w:lang w:val="ru-RU"/>
        </w:rPr>
        <w:t>Утрата почв и растительности ограничена участком и компенсируется рекультивацией после закрытия; редкие виды, охраняемые территории и памятники не затрагиваются.</w:t>
      </w:r>
    </w:p>
    <w:p w14:paraId="158E0EF7" w14:textId="77777777" w:rsidR="00226C18" w:rsidRPr="007B7E49" w:rsidRDefault="00000000">
      <w:pPr>
        <w:pStyle w:val="a4"/>
        <w:numPr>
          <w:ilvl w:val="0"/>
          <w:numId w:val="5"/>
        </w:numPr>
        <w:rPr>
          <w:lang w:val="ru-RU"/>
        </w:rPr>
      </w:pPr>
      <w:r w:rsidRPr="007B7E49">
        <w:rPr>
          <w:lang w:val="ru-RU"/>
        </w:rPr>
        <w:t>Для района проект даёт более 150 рабочих мест и налоговые поступления.</w:t>
      </w:r>
    </w:p>
    <w:p w14:paraId="05E0D05B" w14:textId="77777777" w:rsidR="00226C18" w:rsidRPr="007B7E49" w:rsidRDefault="00000000">
      <w:pPr>
        <w:rPr>
          <w:lang w:val="ru-RU"/>
        </w:rPr>
      </w:pPr>
      <w:r w:rsidRPr="007B7E49">
        <w:rPr>
          <w:lang w:val="ru-RU"/>
        </w:rPr>
        <w:t>Наибольшего внимания требуют пыление при дроблении руды, надёжность дамб и запас ёмкости хвостохранилища (к 11-му году оно заполняется на 99%), а также ночной шум у вахтового посёлка. Именно на них направлены производственный экологический контроль и план природоохранных мероприятий.</w:t>
      </w:r>
    </w:p>
    <w:p w14:paraId="1CA5F67F" w14:textId="77777777" w:rsidR="00226C18" w:rsidRPr="007B7E49" w:rsidRDefault="00000000">
      <w:pPr>
        <w:rPr>
          <w:lang w:val="ru-RU"/>
        </w:rPr>
      </w:pPr>
      <w:r w:rsidRPr="007B7E49">
        <w:rPr>
          <w:i/>
          <w:lang w:val="ru-RU"/>
        </w:rPr>
        <w:t>Источники: Раздел «Охрана окружающей среды», проект нормативов допустимых выбросов, проект технологических нормативов выбросов, проект нормативов физических воздействий, программа управления отходами, программа экологического контроля и план мероприятий по охране окружающей среды на 2027–2036 годы (ТОО «</w:t>
      </w:r>
      <w:r>
        <w:rPr>
          <w:i/>
        </w:rPr>
        <w:t>Q</w:t>
      </w:r>
      <w:r w:rsidRPr="007B7E49">
        <w:rPr>
          <w:i/>
          <w:lang w:val="ru-RU"/>
        </w:rPr>
        <w:t xml:space="preserve"> </w:t>
      </w:r>
      <w:r>
        <w:rPr>
          <w:i/>
        </w:rPr>
        <w:t>Eco</w:t>
      </w:r>
      <w:r w:rsidRPr="007B7E49">
        <w:rPr>
          <w:i/>
          <w:lang w:val="ru-RU"/>
        </w:rPr>
        <w:t xml:space="preserve"> </w:t>
      </w:r>
      <w:r>
        <w:rPr>
          <w:i/>
        </w:rPr>
        <w:t>Solutions</w:t>
      </w:r>
      <w:r w:rsidRPr="007B7E49">
        <w:rPr>
          <w:i/>
          <w:lang w:val="ru-RU"/>
        </w:rPr>
        <w:t>», 2026).</w:t>
      </w:r>
    </w:p>
    <w:sectPr w:rsidR="00226C18" w:rsidRPr="007B7E49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317CF5"/>
    <w:multiLevelType w:val="hybridMultilevel"/>
    <w:tmpl w:val="E8C2EF56"/>
    <w:lvl w:ilvl="0" w:tplc="6CFED870">
      <w:start w:val="1"/>
      <w:numFmt w:val="bullet"/>
      <w:lvlText w:val="•"/>
      <w:lvlJc w:val="left"/>
      <w:pPr>
        <w:ind w:left="720" w:hanging="360"/>
      </w:pPr>
    </w:lvl>
    <w:lvl w:ilvl="1" w:tplc="D3C81F22">
      <w:start w:val="1"/>
      <w:numFmt w:val="bullet"/>
      <w:lvlText w:val="o"/>
      <w:lvlJc w:val="left"/>
      <w:pPr>
        <w:ind w:left="1440" w:hanging="360"/>
      </w:pPr>
    </w:lvl>
    <w:lvl w:ilvl="2" w:tplc="E33062F6">
      <w:start w:val="1"/>
      <w:numFmt w:val="bullet"/>
      <w:lvlText w:val="▪"/>
      <w:lvlJc w:val="left"/>
      <w:pPr>
        <w:ind w:left="2160" w:hanging="360"/>
      </w:pPr>
    </w:lvl>
    <w:lvl w:ilvl="3" w:tplc="CBD67E78">
      <w:start w:val="1"/>
      <w:numFmt w:val="bullet"/>
      <w:lvlText w:val="•"/>
      <w:lvlJc w:val="left"/>
      <w:pPr>
        <w:ind w:left="2880" w:hanging="360"/>
      </w:pPr>
    </w:lvl>
    <w:lvl w:ilvl="4" w:tplc="2F8C5A4C">
      <w:start w:val="1"/>
      <w:numFmt w:val="bullet"/>
      <w:lvlText w:val="o"/>
      <w:lvlJc w:val="left"/>
      <w:pPr>
        <w:ind w:left="3600" w:hanging="360"/>
      </w:pPr>
    </w:lvl>
    <w:lvl w:ilvl="5" w:tplc="6FC0B312">
      <w:start w:val="1"/>
      <w:numFmt w:val="bullet"/>
      <w:lvlText w:val="▪"/>
      <w:lvlJc w:val="left"/>
      <w:pPr>
        <w:ind w:left="4320" w:hanging="360"/>
      </w:pPr>
    </w:lvl>
    <w:lvl w:ilvl="6" w:tplc="69C4EDE6">
      <w:start w:val="1"/>
      <w:numFmt w:val="bullet"/>
      <w:lvlText w:val="•"/>
      <w:lvlJc w:val="left"/>
      <w:pPr>
        <w:ind w:left="5040" w:hanging="360"/>
      </w:pPr>
    </w:lvl>
    <w:lvl w:ilvl="7" w:tplc="4890330A">
      <w:start w:val="1"/>
      <w:numFmt w:val="bullet"/>
      <w:lvlText w:val="o"/>
      <w:lvlJc w:val="left"/>
      <w:pPr>
        <w:ind w:left="5760" w:hanging="360"/>
      </w:pPr>
    </w:lvl>
    <w:lvl w:ilvl="8" w:tplc="8DFEAD86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01C4008"/>
    <w:multiLevelType w:val="hybridMultilevel"/>
    <w:tmpl w:val="5F2A4996"/>
    <w:lvl w:ilvl="0" w:tplc="6A5CCEB8">
      <w:start w:val="1"/>
      <w:numFmt w:val="decimal"/>
      <w:lvlText w:val="%1."/>
      <w:lvlJc w:val="left"/>
      <w:pPr>
        <w:ind w:left="720" w:hanging="360"/>
      </w:pPr>
    </w:lvl>
    <w:lvl w:ilvl="1" w:tplc="FF225272">
      <w:start w:val="1"/>
      <w:numFmt w:val="lowerLetter"/>
      <w:lvlText w:val="%2."/>
      <w:lvlJc w:val="left"/>
      <w:pPr>
        <w:ind w:left="1440" w:hanging="360"/>
      </w:pPr>
    </w:lvl>
    <w:lvl w:ilvl="2" w:tplc="3A147BD8">
      <w:start w:val="1"/>
      <w:numFmt w:val="lowerRoman"/>
      <w:lvlText w:val="%3."/>
      <w:lvlJc w:val="left"/>
      <w:pPr>
        <w:ind w:left="2160" w:hanging="360"/>
      </w:pPr>
    </w:lvl>
    <w:lvl w:ilvl="3" w:tplc="7EF64432">
      <w:start w:val="1"/>
      <w:numFmt w:val="decimal"/>
      <w:lvlText w:val="%4."/>
      <w:lvlJc w:val="left"/>
      <w:pPr>
        <w:ind w:left="2880" w:hanging="360"/>
      </w:pPr>
    </w:lvl>
    <w:lvl w:ilvl="4" w:tplc="B0CC2DE8">
      <w:start w:val="1"/>
      <w:numFmt w:val="lowerLetter"/>
      <w:lvlText w:val="%5."/>
      <w:lvlJc w:val="left"/>
      <w:pPr>
        <w:ind w:left="3600" w:hanging="360"/>
      </w:pPr>
    </w:lvl>
    <w:lvl w:ilvl="5" w:tplc="6C4ADA26">
      <w:start w:val="1"/>
      <w:numFmt w:val="lowerRoman"/>
      <w:lvlText w:val="%6."/>
      <w:lvlJc w:val="left"/>
      <w:pPr>
        <w:ind w:left="4320" w:hanging="360"/>
      </w:pPr>
    </w:lvl>
    <w:lvl w:ilvl="6" w:tplc="91E0E1B0">
      <w:start w:val="1"/>
      <w:numFmt w:val="decimal"/>
      <w:lvlText w:val="%7."/>
      <w:lvlJc w:val="left"/>
      <w:pPr>
        <w:ind w:left="5040" w:hanging="360"/>
      </w:pPr>
    </w:lvl>
    <w:lvl w:ilvl="7" w:tplc="DAFEE128">
      <w:start w:val="1"/>
      <w:numFmt w:val="lowerLetter"/>
      <w:lvlText w:val="%8."/>
      <w:lvlJc w:val="left"/>
      <w:pPr>
        <w:ind w:left="5760" w:hanging="360"/>
      </w:pPr>
    </w:lvl>
    <w:lvl w:ilvl="8" w:tplc="6D34D624">
      <w:start w:val="1"/>
      <w:numFmt w:val="lowerRoman"/>
      <w:lvlText w:val="%9."/>
      <w:lvlJc w:val="left"/>
      <w:pPr>
        <w:ind w:left="6480" w:hanging="360"/>
      </w:pPr>
    </w:lvl>
  </w:abstractNum>
  <w:num w:numId="1" w16cid:durableId="2087025157">
    <w:abstractNumId w:val="0"/>
  </w:num>
  <w:num w:numId="2" w16cid:durableId="272247161">
    <w:abstractNumId w:val="1"/>
    <w:lvlOverride w:ilvl="0">
      <w:startOverride w:val="1"/>
    </w:lvlOverride>
  </w:num>
  <w:num w:numId="3" w16cid:durableId="1654021608">
    <w:abstractNumId w:val="0"/>
  </w:num>
  <w:num w:numId="4" w16cid:durableId="724566818">
    <w:abstractNumId w:val="0"/>
  </w:num>
  <w:num w:numId="5" w16cid:durableId="18466256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6C18"/>
    <w:rsid w:val="00226C18"/>
    <w:rsid w:val="0061501F"/>
    <w:rsid w:val="007B7E49"/>
    <w:rsid w:val="00F1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6BC87"/>
  <w15:docId w15:val="{92E4FA70-2E39-4997-98DF-8BD28C6C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outlineLvl w:val="5"/>
    </w:pPr>
    <w:rPr>
      <w:i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spacing w:after="80"/>
      <w:contextualSpacing/>
    </w:pPr>
    <w:rPr>
      <w:sz w:val="56"/>
    </w:rPr>
  </w:style>
  <w:style w:type="paragraph" w:styleId="20">
    <w:name w:val="Quote"/>
    <w:basedOn w:val="a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a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a4">
    <w:name w:val="List Paragraph"/>
    <w:basedOn w:val="a"/>
    <w:qFormat/>
    <w:pPr>
      <w:ind w:left="720"/>
      <w:contextualSpacing/>
    </w:pPr>
  </w:style>
  <w:style w:type="character" w:styleId="a5">
    <w:name w:val="Hyperlink"/>
    <w:rPr>
      <w:color w:val="0563C1"/>
      <w:u w:val="single"/>
    </w:rPr>
  </w:style>
  <w:style w:type="paragraph" w:styleId="a6">
    <w:name w:val="annotation text"/>
    <w:basedOn w:val="a"/>
    <w:pPr>
      <w:spacing w:line="240" w:lineRule="auto"/>
    </w:pPr>
    <w:rPr>
      <w:sz w:val="20"/>
      <w:szCs w:val="20"/>
    </w:rPr>
  </w:style>
  <w:style w:type="character" w:styleId="a7">
    <w:name w:val="annotation reference"/>
    <w:rPr>
      <w:sz w:val="16"/>
      <w:szCs w:val="16"/>
    </w:rPr>
  </w:style>
  <w:style w:type="table" w:styleId="a8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uiPriority w:val="1"/>
    <w:qFormat/>
    <w:rsid w:val="007B7E4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1662</Words>
  <Characters>9475</Characters>
  <Application>Microsoft Office Word</Application>
  <DocSecurity>0</DocSecurity>
  <Lines>78</Lines>
  <Paragraphs>22</Paragraphs>
  <ScaleCrop>false</ScaleCrop>
  <Company/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Нетехническое резюме проекта</dc:title>
  <dc:description>Claude Docs node/260deff1-5905@8 docx-w6</dc:description>
  <cp:lastModifiedBy>Динара Амиржан</cp:lastModifiedBy>
  <cp:revision>10</cp:revision>
  <dcterms:created xsi:type="dcterms:W3CDTF">2026-10-12T08:28:00Z</dcterms:created>
  <dcterms:modified xsi:type="dcterms:W3CDTF">2026-10-12T08:31:00Z</dcterms:modified>
</cp:coreProperties>
</file>