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7D5A4" w14:textId="74B05DE3" w:rsidR="00012B95" w:rsidRDefault="00B84279" w:rsidP="00B84279">
      <w:pPr>
        <w:jc w:val="center"/>
        <w:rPr>
          <w:rFonts w:ascii="Arial" w:hAnsi="Arial" w:cs="Arial"/>
          <w:b/>
          <w:bCs/>
          <w:color w:val="000000"/>
          <w:spacing w:val="2"/>
          <w:shd w:val="clear" w:color="auto" w:fill="FFFFFF"/>
        </w:rPr>
      </w:pPr>
      <w:r w:rsidRPr="009208C8">
        <w:rPr>
          <w:rFonts w:ascii="Arial" w:hAnsi="Arial" w:cs="Arial"/>
          <w:b/>
          <w:bCs/>
          <w:color w:val="000000"/>
          <w:spacing w:val="2"/>
          <w:shd w:val="clear" w:color="auto" w:fill="FFFFFF"/>
        </w:rPr>
        <w:t>Нетехническое резюме к проектной документации</w:t>
      </w:r>
    </w:p>
    <w:p w14:paraId="7C85FF6C" w14:textId="77777777" w:rsidR="00AE1E85" w:rsidRPr="00AE1E85" w:rsidRDefault="00AE1E85" w:rsidP="00AE1E85">
      <w:pPr>
        <w:pStyle w:val="ae"/>
        <w:spacing w:before="120" w:line="24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</w:rPr>
        <w:tab/>
      </w:r>
      <w:r w:rsidRPr="00AE1E85">
        <w:rPr>
          <w:rFonts w:ascii="Arial" w:hAnsi="Arial" w:cs="Arial"/>
          <w:b/>
          <w:sz w:val="22"/>
          <w:szCs w:val="22"/>
        </w:rPr>
        <w:t>Месторождение Северное Придорожное</w:t>
      </w:r>
    </w:p>
    <w:p w14:paraId="3BA4DDC0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ТОО «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Sherqala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Petroleum» является недропользователем месторождения Северное Придорожное, расположенного на территории Мангистауской области, на основании Контракта на добычу углеводородов № 5300-УВС от 14.12.2023 г., со сроком действия Контракта до 14.12.2048 г.</w:t>
      </w:r>
    </w:p>
    <w:p w14:paraId="3EDBF0FB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В настоящее время разработка месторождения Северное Придорожное осуществляется на основании проектного документа - «Проекта разработки месторождения Северное Придорожное», с утвержденными технологическими показателями с 2025 года до конца рентабельного периода (Протокол ЦКРР РК № 55/7 от 3 октября 2024 г.).</w:t>
      </w:r>
    </w:p>
    <w:p w14:paraId="16B8AC0C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В 2024 г. на основании утверждённого проектного документа была разработана и согласована с Рабочей группой МЭ РК «Программа развития переработки сырого газа на этапе промышленной разработки месторождения Северное Придорожное на 2025–2026 гг.», с технологическими показателями на 2025 год (Протокол РГ № 26/1 от 29.11.2024 г.).</w:t>
      </w:r>
    </w:p>
    <w:p w14:paraId="45ACFA30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В настоящей Программе с технологическими показателями на 2026 г. рассмотрены текущее состояние разработки месторождения Северное Придорожное, технология сбора и подготовки нефти и газа, уточнены прогнозные объёмы потребления сырого газа на собственные нужды и объемы технологически неизбежного сжигания газа, а также составлен Баланс газа по месторождению на 2026 г.</w:t>
      </w:r>
    </w:p>
    <w:p w14:paraId="1806D543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В 2012 г. выполнен отчет «Пересчет запасов нефти и растворенного газа месторождения Северное Придорожное», утвержден Протоколом ГКЗ РК № 1178-12-У от 26.04.2012 г.</w:t>
      </w:r>
    </w:p>
    <w:p w14:paraId="59302C4D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  <w:t>Таблица 1.3. Запасы нефти и растворенного газа м. Северное Придорожное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028"/>
        <w:gridCol w:w="1882"/>
        <w:gridCol w:w="2028"/>
        <w:gridCol w:w="1880"/>
      </w:tblGrid>
      <w:tr w:rsidR="00AE1E85" w:rsidRPr="00AE1E85" w14:paraId="50BAFCBF" w14:textId="77777777" w:rsidTr="005E46C8">
        <w:trPr>
          <w:trHeight w:val="397"/>
          <w:jc w:val="center"/>
        </w:trPr>
        <w:tc>
          <w:tcPr>
            <w:tcW w:w="817" w:type="pct"/>
            <w:noWrap/>
            <w:vAlign w:val="center"/>
          </w:tcPr>
          <w:p w14:paraId="28207252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Запасы</w:t>
            </w:r>
          </w:p>
        </w:tc>
        <w:tc>
          <w:tcPr>
            <w:tcW w:w="2092" w:type="pct"/>
            <w:gridSpan w:val="2"/>
            <w:noWrap/>
            <w:vAlign w:val="center"/>
          </w:tcPr>
          <w:p w14:paraId="7FCE804A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Нефти, тыс. т</w:t>
            </w:r>
          </w:p>
        </w:tc>
        <w:tc>
          <w:tcPr>
            <w:tcW w:w="2091" w:type="pct"/>
            <w:gridSpan w:val="2"/>
            <w:vAlign w:val="center"/>
          </w:tcPr>
          <w:p w14:paraId="301C822E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Растворенного газа, млн. м</w:t>
            </w:r>
            <w:r w:rsidRPr="00AE1E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ru-RU"/>
                <w14:ligatures w14:val="none"/>
              </w:rPr>
              <w:t>3</w:t>
            </w:r>
          </w:p>
        </w:tc>
      </w:tr>
      <w:tr w:rsidR="00AE1E85" w:rsidRPr="00AE1E85" w14:paraId="61D2E6AA" w14:textId="77777777" w:rsidTr="005E46C8">
        <w:trPr>
          <w:trHeight w:val="397"/>
          <w:jc w:val="center"/>
        </w:trPr>
        <w:tc>
          <w:tcPr>
            <w:tcW w:w="817" w:type="pct"/>
            <w:noWrap/>
            <w:vAlign w:val="center"/>
            <w:hideMark/>
          </w:tcPr>
          <w:p w14:paraId="307F03A7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Категория</w:t>
            </w:r>
          </w:p>
        </w:tc>
        <w:tc>
          <w:tcPr>
            <w:tcW w:w="1085" w:type="pct"/>
            <w:noWrap/>
            <w:vAlign w:val="center"/>
            <w:hideMark/>
          </w:tcPr>
          <w:p w14:paraId="13BBF676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Геологические</w:t>
            </w:r>
          </w:p>
        </w:tc>
        <w:tc>
          <w:tcPr>
            <w:tcW w:w="1007" w:type="pct"/>
            <w:noWrap/>
            <w:vAlign w:val="center"/>
            <w:hideMark/>
          </w:tcPr>
          <w:p w14:paraId="2CEAC9B6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Извлекаемые</w:t>
            </w:r>
          </w:p>
        </w:tc>
        <w:tc>
          <w:tcPr>
            <w:tcW w:w="1085" w:type="pct"/>
            <w:vAlign w:val="center"/>
          </w:tcPr>
          <w:p w14:paraId="4649117A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Геологические</w:t>
            </w:r>
          </w:p>
        </w:tc>
        <w:tc>
          <w:tcPr>
            <w:tcW w:w="1006" w:type="pct"/>
            <w:vAlign w:val="center"/>
          </w:tcPr>
          <w:p w14:paraId="7C303E4C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Извлекаемые</w:t>
            </w:r>
          </w:p>
        </w:tc>
      </w:tr>
      <w:tr w:rsidR="00AE1E85" w:rsidRPr="00AE1E85" w14:paraId="677399FA" w14:textId="77777777" w:rsidTr="005E46C8">
        <w:trPr>
          <w:trHeight w:val="397"/>
          <w:jc w:val="center"/>
        </w:trPr>
        <w:tc>
          <w:tcPr>
            <w:tcW w:w="817" w:type="pct"/>
            <w:shd w:val="clear" w:color="000000" w:fill="FFFFFF"/>
            <w:noWrap/>
            <w:vAlign w:val="center"/>
            <w:hideMark/>
          </w:tcPr>
          <w:p w14:paraId="72E7E7BD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В+С</w:t>
            </w:r>
            <w:r w:rsidRPr="00AE1E85">
              <w:rPr>
                <w:rFonts w:ascii="Arial" w:eastAsia="Times New Roman" w:hAnsi="Arial" w:cs="Arial"/>
                <w:kern w:val="0"/>
                <w:sz w:val="20"/>
                <w:szCs w:val="20"/>
                <w:vertAlign w:val="subscript"/>
                <w:lang w:eastAsia="ru-RU"/>
                <w14:ligatures w14:val="none"/>
              </w:rPr>
              <w:t>1</w:t>
            </w:r>
          </w:p>
        </w:tc>
        <w:tc>
          <w:tcPr>
            <w:tcW w:w="1085" w:type="pct"/>
            <w:noWrap/>
            <w:vAlign w:val="center"/>
            <w:hideMark/>
          </w:tcPr>
          <w:p w14:paraId="45B231A6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2780</w:t>
            </w:r>
          </w:p>
        </w:tc>
        <w:tc>
          <w:tcPr>
            <w:tcW w:w="1007" w:type="pct"/>
            <w:noWrap/>
            <w:vAlign w:val="center"/>
            <w:hideMark/>
          </w:tcPr>
          <w:p w14:paraId="60278E09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650</w:t>
            </w:r>
          </w:p>
        </w:tc>
        <w:tc>
          <w:tcPr>
            <w:tcW w:w="1085" w:type="pct"/>
            <w:vAlign w:val="center"/>
          </w:tcPr>
          <w:p w14:paraId="6880DC37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377</w:t>
            </w:r>
          </w:p>
        </w:tc>
        <w:tc>
          <w:tcPr>
            <w:tcW w:w="1006" w:type="pct"/>
            <w:vAlign w:val="center"/>
          </w:tcPr>
          <w:p w14:paraId="328D07DE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148</w:t>
            </w:r>
          </w:p>
        </w:tc>
      </w:tr>
      <w:tr w:rsidR="00AE1E85" w:rsidRPr="00AE1E85" w14:paraId="63FDC57A" w14:textId="77777777" w:rsidTr="005E46C8">
        <w:trPr>
          <w:trHeight w:val="397"/>
          <w:jc w:val="center"/>
        </w:trPr>
        <w:tc>
          <w:tcPr>
            <w:tcW w:w="817" w:type="pct"/>
            <w:shd w:val="clear" w:color="000000" w:fill="FFFFFF"/>
            <w:noWrap/>
            <w:vAlign w:val="center"/>
            <w:hideMark/>
          </w:tcPr>
          <w:p w14:paraId="58E6ECDA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</w:t>
            </w:r>
            <w:r w:rsidRPr="00AE1E85"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vertAlign w:val="subscript"/>
                <w:lang w:eastAsia="ru-RU"/>
                <w14:ligatures w14:val="none"/>
              </w:rPr>
              <w:t>2</w:t>
            </w:r>
          </w:p>
        </w:tc>
        <w:tc>
          <w:tcPr>
            <w:tcW w:w="1085" w:type="pct"/>
            <w:noWrap/>
            <w:vAlign w:val="center"/>
            <w:hideMark/>
          </w:tcPr>
          <w:p w14:paraId="2E1949A7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164</w:t>
            </w:r>
          </w:p>
        </w:tc>
        <w:tc>
          <w:tcPr>
            <w:tcW w:w="1007" w:type="pct"/>
            <w:noWrap/>
            <w:vAlign w:val="center"/>
            <w:hideMark/>
          </w:tcPr>
          <w:p w14:paraId="1B2B5912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1085" w:type="pct"/>
            <w:vAlign w:val="center"/>
          </w:tcPr>
          <w:p w14:paraId="6904D35D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1006" w:type="pct"/>
            <w:vAlign w:val="center"/>
          </w:tcPr>
          <w:p w14:paraId="792D9017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</w:tr>
    </w:tbl>
    <w:p w14:paraId="198DD4BB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Исследование состава и свойств нефти и газа месторождения Северное Придорожное проводилось с начала геологоразведочных работ. Лабораторные исследования выполнялись в лабораториях АО «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КазНИПИнефть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» и АО «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НИПИнефтегаз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» г. Актау.</w:t>
      </w:r>
    </w:p>
    <w:p w14:paraId="7126C3A0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В целом, месторождение Северное Придорожное изучено по результатам исследования 10 глубинных проб нефти, а также 25 проб дегазированной нефти в поверхностных условиях (включая 11 проб после дегазации и 14 устьевых проб). Состав и свойства растворенного газа исследовались по 7 устьевым пробам.</w:t>
      </w:r>
    </w:p>
    <w:p w14:paraId="772BCC14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  <w:t>Таблица 1.4. Свойства нефти в поверхностных условиях м. Северное Придорожное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8"/>
        <w:gridCol w:w="1362"/>
        <w:gridCol w:w="1362"/>
        <w:gridCol w:w="1377"/>
        <w:gridCol w:w="1375"/>
      </w:tblGrid>
      <w:tr w:rsidR="00AE1E85" w:rsidRPr="00AE1E85" w14:paraId="37B54BE4" w14:textId="77777777" w:rsidTr="005E46C8">
        <w:trPr>
          <w:trHeight w:hRule="exact" w:val="227"/>
        </w:trPr>
        <w:tc>
          <w:tcPr>
            <w:tcW w:w="2069" w:type="pct"/>
            <w:vMerge w:val="restart"/>
            <w:vAlign w:val="center"/>
            <w:hideMark/>
          </w:tcPr>
          <w:p w14:paraId="66411E50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1458" w:type="pct"/>
            <w:gridSpan w:val="2"/>
            <w:vAlign w:val="center"/>
            <w:hideMark/>
          </w:tcPr>
          <w:p w14:paraId="6B34D76C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Количество исследованных</w:t>
            </w:r>
          </w:p>
        </w:tc>
        <w:tc>
          <w:tcPr>
            <w:tcW w:w="737" w:type="pct"/>
            <w:vMerge w:val="restart"/>
            <w:vAlign w:val="center"/>
            <w:hideMark/>
          </w:tcPr>
          <w:p w14:paraId="65394DCE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Диапазон изменений</w:t>
            </w:r>
          </w:p>
        </w:tc>
        <w:tc>
          <w:tcPr>
            <w:tcW w:w="736" w:type="pct"/>
            <w:vMerge w:val="restart"/>
            <w:vAlign w:val="center"/>
            <w:hideMark/>
          </w:tcPr>
          <w:p w14:paraId="626AD68A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Среднее значение</w:t>
            </w:r>
          </w:p>
        </w:tc>
      </w:tr>
      <w:tr w:rsidR="00AE1E85" w:rsidRPr="00AE1E85" w14:paraId="28DD45FB" w14:textId="77777777" w:rsidTr="005E46C8">
        <w:trPr>
          <w:trHeight w:val="170"/>
        </w:trPr>
        <w:tc>
          <w:tcPr>
            <w:tcW w:w="2069" w:type="pct"/>
            <w:vMerge/>
            <w:vAlign w:val="center"/>
            <w:hideMark/>
          </w:tcPr>
          <w:p w14:paraId="412D48EA" w14:textId="77777777" w:rsidR="00AE1E85" w:rsidRPr="00AE1E85" w:rsidRDefault="00AE1E85" w:rsidP="00AE1E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9" w:type="pct"/>
            <w:vAlign w:val="center"/>
            <w:hideMark/>
          </w:tcPr>
          <w:p w14:paraId="0152FFBF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AE1E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скв</w:t>
            </w:r>
            <w:proofErr w:type="spellEnd"/>
            <w:r w:rsidRPr="00AE1E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</w:p>
        </w:tc>
        <w:tc>
          <w:tcPr>
            <w:tcW w:w="729" w:type="pct"/>
            <w:vAlign w:val="center"/>
            <w:hideMark/>
          </w:tcPr>
          <w:p w14:paraId="6829E17B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проб</w:t>
            </w:r>
          </w:p>
        </w:tc>
        <w:tc>
          <w:tcPr>
            <w:tcW w:w="737" w:type="pct"/>
            <w:vMerge/>
            <w:vAlign w:val="center"/>
            <w:hideMark/>
          </w:tcPr>
          <w:p w14:paraId="29BC1423" w14:textId="77777777" w:rsidR="00AE1E85" w:rsidRPr="00AE1E85" w:rsidRDefault="00AE1E85" w:rsidP="00AE1E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36" w:type="pct"/>
            <w:vMerge/>
            <w:vAlign w:val="center"/>
            <w:hideMark/>
          </w:tcPr>
          <w:p w14:paraId="2F5D4999" w14:textId="77777777" w:rsidR="00AE1E85" w:rsidRPr="00AE1E85" w:rsidRDefault="00AE1E85" w:rsidP="00AE1E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E1E85" w:rsidRPr="00AE1E85" w14:paraId="62AD9161" w14:textId="77777777" w:rsidTr="005E46C8">
        <w:trPr>
          <w:trHeight w:val="170"/>
        </w:trPr>
        <w:tc>
          <w:tcPr>
            <w:tcW w:w="2069" w:type="pct"/>
            <w:vAlign w:val="center"/>
            <w:hideMark/>
          </w:tcPr>
          <w:p w14:paraId="4BD26807" w14:textId="77777777" w:rsidR="00AE1E85" w:rsidRPr="00AE1E85" w:rsidRDefault="00AE1E85" w:rsidP="00AE1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Плотность нефти, г/см</w:t>
            </w: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eastAsia="ru-RU"/>
                <w14:ligatures w14:val="none"/>
              </w:rPr>
              <w:t>3</w:t>
            </w:r>
          </w:p>
        </w:tc>
        <w:tc>
          <w:tcPr>
            <w:tcW w:w="729" w:type="pct"/>
            <w:vAlign w:val="center"/>
            <w:hideMark/>
          </w:tcPr>
          <w:p w14:paraId="61EDB712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729" w:type="pct"/>
            <w:vAlign w:val="center"/>
            <w:hideMark/>
          </w:tcPr>
          <w:p w14:paraId="77952845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737" w:type="pct"/>
            <w:vAlign w:val="center"/>
            <w:hideMark/>
          </w:tcPr>
          <w:p w14:paraId="3036CD23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0,808-0,846</w:t>
            </w:r>
          </w:p>
        </w:tc>
        <w:tc>
          <w:tcPr>
            <w:tcW w:w="736" w:type="pct"/>
            <w:vAlign w:val="center"/>
            <w:hideMark/>
          </w:tcPr>
          <w:p w14:paraId="41688B1C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0,828</w:t>
            </w:r>
          </w:p>
        </w:tc>
      </w:tr>
      <w:tr w:rsidR="00AE1E85" w:rsidRPr="00AE1E85" w14:paraId="535611EF" w14:textId="77777777" w:rsidTr="005E46C8">
        <w:trPr>
          <w:trHeight w:val="170"/>
        </w:trPr>
        <w:tc>
          <w:tcPr>
            <w:tcW w:w="5000" w:type="pct"/>
            <w:gridSpan w:val="5"/>
            <w:vAlign w:val="center"/>
            <w:hideMark/>
          </w:tcPr>
          <w:p w14:paraId="37AF18C5" w14:textId="77777777" w:rsidR="00AE1E85" w:rsidRPr="00AE1E85" w:rsidRDefault="00AE1E85" w:rsidP="00AE1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Вязкость нефти, мПа*с</w:t>
            </w:r>
          </w:p>
        </w:tc>
      </w:tr>
      <w:tr w:rsidR="00AE1E85" w:rsidRPr="00AE1E85" w14:paraId="3262C5DE" w14:textId="77777777" w:rsidTr="005E46C8">
        <w:trPr>
          <w:trHeight w:val="170"/>
        </w:trPr>
        <w:tc>
          <w:tcPr>
            <w:tcW w:w="2069" w:type="pct"/>
            <w:vAlign w:val="center"/>
            <w:hideMark/>
          </w:tcPr>
          <w:p w14:paraId="27FAEBE5" w14:textId="77777777" w:rsidR="00AE1E85" w:rsidRPr="00AE1E85" w:rsidRDefault="00AE1E85" w:rsidP="00AE1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при 50 </w:t>
            </w:r>
            <w:proofErr w:type="spellStart"/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eastAsia="ru-RU"/>
                <w14:ligatures w14:val="none"/>
              </w:rPr>
              <w:t>о</w:t>
            </w: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</w:t>
            </w:r>
            <w:proofErr w:type="spellEnd"/>
          </w:p>
        </w:tc>
        <w:tc>
          <w:tcPr>
            <w:tcW w:w="729" w:type="pct"/>
            <w:vAlign w:val="center"/>
            <w:hideMark/>
          </w:tcPr>
          <w:p w14:paraId="60388383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729" w:type="pct"/>
            <w:vAlign w:val="center"/>
            <w:hideMark/>
          </w:tcPr>
          <w:p w14:paraId="731A11D4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737" w:type="pct"/>
            <w:vAlign w:val="center"/>
            <w:hideMark/>
          </w:tcPr>
          <w:p w14:paraId="4A2AD8AB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4,7-18,8</w:t>
            </w:r>
          </w:p>
        </w:tc>
        <w:tc>
          <w:tcPr>
            <w:tcW w:w="736" w:type="pct"/>
            <w:vAlign w:val="center"/>
            <w:hideMark/>
          </w:tcPr>
          <w:p w14:paraId="68C6EC43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9,4</w:t>
            </w:r>
          </w:p>
        </w:tc>
      </w:tr>
      <w:tr w:rsidR="00AE1E85" w:rsidRPr="00AE1E85" w14:paraId="6F459A6D" w14:textId="77777777" w:rsidTr="005E46C8">
        <w:trPr>
          <w:trHeight w:val="170"/>
        </w:trPr>
        <w:tc>
          <w:tcPr>
            <w:tcW w:w="2069" w:type="pct"/>
            <w:vAlign w:val="center"/>
            <w:hideMark/>
          </w:tcPr>
          <w:p w14:paraId="124DB556" w14:textId="77777777" w:rsidR="00AE1E85" w:rsidRPr="00AE1E85" w:rsidRDefault="00AE1E85" w:rsidP="00AE1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при 60 </w:t>
            </w:r>
            <w:proofErr w:type="spellStart"/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eastAsia="ru-RU"/>
                <w14:ligatures w14:val="none"/>
              </w:rPr>
              <w:t>о</w:t>
            </w: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</w:t>
            </w:r>
            <w:proofErr w:type="spellEnd"/>
          </w:p>
        </w:tc>
        <w:tc>
          <w:tcPr>
            <w:tcW w:w="729" w:type="pct"/>
            <w:vAlign w:val="center"/>
            <w:hideMark/>
          </w:tcPr>
          <w:p w14:paraId="4A3255FF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729" w:type="pct"/>
            <w:vAlign w:val="center"/>
            <w:hideMark/>
          </w:tcPr>
          <w:p w14:paraId="0819E27E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737" w:type="pct"/>
            <w:vAlign w:val="center"/>
            <w:hideMark/>
          </w:tcPr>
          <w:p w14:paraId="6412C0DB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3,4-12,9</w:t>
            </w:r>
          </w:p>
        </w:tc>
        <w:tc>
          <w:tcPr>
            <w:tcW w:w="736" w:type="pct"/>
            <w:vAlign w:val="center"/>
            <w:hideMark/>
          </w:tcPr>
          <w:p w14:paraId="3E7D7D88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5,5</w:t>
            </w:r>
          </w:p>
        </w:tc>
      </w:tr>
      <w:tr w:rsidR="00AE1E85" w:rsidRPr="00AE1E85" w14:paraId="0F5D9951" w14:textId="77777777" w:rsidTr="005E46C8">
        <w:trPr>
          <w:trHeight w:val="170"/>
        </w:trPr>
        <w:tc>
          <w:tcPr>
            <w:tcW w:w="2069" w:type="pct"/>
            <w:vAlign w:val="center"/>
            <w:hideMark/>
          </w:tcPr>
          <w:p w14:paraId="5C424780" w14:textId="77777777" w:rsidR="00AE1E85" w:rsidRPr="00AE1E85" w:rsidRDefault="00AE1E85" w:rsidP="00AE1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Температура застывания, </w:t>
            </w:r>
            <w:proofErr w:type="spellStart"/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eastAsia="ru-RU"/>
                <w14:ligatures w14:val="none"/>
              </w:rPr>
              <w:t>о</w:t>
            </w: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</w:t>
            </w:r>
            <w:proofErr w:type="spellEnd"/>
          </w:p>
        </w:tc>
        <w:tc>
          <w:tcPr>
            <w:tcW w:w="729" w:type="pct"/>
            <w:vAlign w:val="center"/>
            <w:hideMark/>
          </w:tcPr>
          <w:p w14:paraId="75BDD5BC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729" w:type="pct"/>
            <w:vAlign w:val="center"/>
            <w:hideMark/>
          </w:tcPr>
          <w:p w14:paraId="0EBD7E24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737" w:type="pct"/>
            <w:vAlign w:val="center"/>
            <w:hideMark/>
          </w:tcPr>
          <w:p w14:paraId="169CF3D6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27-47</w:t>
            </w:r>
          </w:p>
        </w:tc>
        <w:tc>
          <w:tcPr>
            <w:tcW w:w="736" w:type="pct"/>
            <w:vAlign w:val="center"/>
            <w:hideMark/>
          </w:tcPr>
          <w:p w14:paraId="1E431A88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</w:tr>
      <w:tr w:rsidR="00AE1E85" w:rsidRPr="00AE1E85" w14:paraId="77200F6B" w14:textId="77777777" w:rsidTr="005E46C8">
        <w:trPr>
          <w:trHeight w:val="170"/>
        </w:trPr>
        <w:tc>
          <w:tcPr>
            <w:tcW w:w="5000" w:type="pct"/>
            <w:gridSpan w:val="5"/>
            <w:vAlign w:val="center"/>
            <w:hideMark/>
          </w:tcPr>
          <w:p w14:paraId="14CF7DF6" w14:textId="77777777" w:rsidR="00AE1E85" w:rsidRPr="00AE1E85" w:rsidRDefault="00AE1E85" w:rsidP="00AE1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Содержание в нефти, % масс.</w:t>
            </w:r>
          </w:p>
        </w:tc>
      </w:tr>
      <w:tr w:rsidR="00AE1E85" w:rsidRPr="00AE1E85" w14:paraId="3AC3C990" w14:textId="77777777" w:rsidTr="005E46C8">
        <w:trPr>
          <w:trHeight w:val="170"/>
        </w:trPr>
        <w:tc>
          <w:tcPr>
            <w:tcW w:w="2069" w:type="pct"/>
            <w:vAlign w:val="center"/>
            <w:hideMark/>
          </w:tcPr>
          <w:p w14:paraId="23FC7FE6" w14:textId="77777777" w:rsidR="00AE1E85" w:rsidRPr="00AE1E85" w:rsidRDefault="00AE1E85" w:rsidP="00AE1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Серы</w:t>
            </w:r>
          </w:p>
        </w:tc>
        <w:tc>
          <w:tcPr>
            <w:tcW w:w="729" w:type="pct"/>
            <w:vAlign w:val="center"/>
            <w:hideMark/>
          </w:tcPr>
          <w:p w14:paraId="28C35021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729" w:type="pct"/>
            <w:vAlign w:val="center"/>
            <w:hideMark/>
          </w:tcPr>
          <w:p w14:paraId="67E5D6F4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737" w:type="pct"/>
            <w:vAlign w:val="center"/>
            <w:hideMark/>
          </w:tcPr>
          <w:p w14:paraId="77744E17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0,01-0,11</w:t>
            </w:r>
          </w:p>
        </w:tc>
        <w:tc>
          <w:tcPr>
            <w:tcW w:w="736" w:type="pct"/>
            <w:vAlign w:val="center"/>
            <w:hideMark/>
          </w:tcPr>
          <w:p w14:paraId="43E4C76F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0,03</w:t>
            </w:r>
          </w:p>
        </w:tc>
      </w:tr>
      <w:tr w:rsidR="00AE1E85" w:rsidRPr="00AE1E85" w14:paraId="4E308029" w14:textId="77777777" w:rsidTr="005E46C8">
        <w:trPr>
          <w:trHeight w:val="170"/>
        </w:trPr>
        <w:tc>
          <w:tcPr>
            <w:tcW w:w="2069" w:type="pct"/>
            <w:vAlign w:val="center"/>
            <w:hideMark/>
          </w:tcPr>
          <w:p w14:paraId="041863CC" w14:textId="77777777" w:rsidR="00AE1E85" w:rsidRPr="00AE1E85" w:rsidRDefault="00AE1E85" w:rsidP="00AE1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асфальтенов и смол</w:t>
            </w:r>
          </w:p>
        </w:tc>
        <w:tc>
          <w:tcPr>
            <w:tcW w:w="729" w:type="pct"/>
            <w:vAlign w:val="center"/>
            <w:hideMark/>
          </w:tcPr>
          <w:p w14:paraId="36B92B5A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729" w:type="pct"/>
            <w:vAlign w:val="center"/>
            <w:hideMark/>
          </w:tcPr>
          <w:p w14:paraId="78C0F5E8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737" w:type="pct"/>
            <w:vAlign w:val="center"/>
            <w:hideMark/>
          </w:tcPr>
          <w:p w14:paraId="1DA6B9CC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1,0-6,1</w:t>
            </w:r>
          </w:p>
        </w:tc>
        <w:tc>
          <w:tcPr>
            <w:tcW w:w="736" w:type="pct"/>
            <w:vAlign w:val="center"/>
            <w:hideMark/>
          </w:tcPr>
          <w:p w14:paraId="20328BF9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3,9</w:t>
            </w:r>
          </w:p>
        </w:tc>
      </w:tr>
      <w:tr w:rsidR="00AE1E85" w:rsidRPr="00AE1E85" w14:paraId="5763A5C3" w14:textId="77777777" w:rsidTr="005E46C8">
        <w:trPr>
          <w:trHeight w:val="170"/>
        </w:trPr>
        <w:tc>
          <w:tcPr>
            <w:tcW w:w="2069" w:type="pct"/>
            <w:vAlign w:val="center"/>
            <w:hideMark/>
          </w:tcPr>
          <w:p w14:paraId="35B18148" w14:textId="77777777" w:rsidR="00AE1E85" w:rsidRPr="00AE1E85" w:rsidRDefault="00AE1E85" w:rsidP="00AE1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Парафина</w:t>
            </w:r>
          </w:p>
        </w:tc>
        <w:tc>
          <w:tcPr>
            <w:tcW w:w="729" w:type="pct"/>
            <w:vAlign w:val="center"/>
            <w:hideMark/>
          </w:tcPr>
          <w:p w14:paraId="75B97F92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729" w:type="pct"/>
            <w:vAlign w:val="center"/>
            <w:hideMark/>
          </w:tcPr>
          <w:p w14:paraId="685FEAC3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737" w:type="pct"/>
            <w:vAlign w:val="center"/>
            <w:hideMark/>
          </w:tcPr>
          <w:p w14:paraId="42BE3C3E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17,0-27,6</w:t>
            </w:r>
          </w:p>
        </w:tc>
        <w:tc>
          <w:tcPr>
            <w:tcW w:w="736" w:type="pct"/>
            <w:vAlign w:val="center"/>
            <w:hideMark/>
          </w:tcPr>
          <w:p w14:paraId="1719E49A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23,5</w:t>
            </w:r>
          </w:p>
        </w:tc>
      </w:tr>
      <w:tr w:rsidR="00AE1E85" w:rsidRPr="00AE1E85" w14:paraId="00516596" w14:textId="77777777" w:rsidTr="005E46C8">
        <w:trPr>
          <w:trHeight w:val="170"/>
        </w:trPr>
        <w:tc>
          <w:tcPr>
            <w:tcW w:w="5000" w:type="pct"/>
            <w:gridSpan w:val="5"/>
            <w:vAlign w:val="center"/>
            <w:hideMark/>
          </w:tcPr>
          <w:p w14:paraId="24DAFE10" w14:textId="77777777" w:rsidR="00AE1E85" w:rsidRPr="00AE1E85" w:rsidRDefault="00AE1E85" w:rsidP="00AE1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Объемный выход фракций, % об.</w:t>
            </w:r>
          </w:p>
        </w:tc>
      </w:tr>
      <w:tr w:rsidR="00AE1E85" w:rsidRPr="00AE1E85" w14:paraId="26AEB5D8" w14:textId="77777777" w:rsidTr="005E46C8">
        <w:trPr>
          <w:trHeight w:val="170"/>
        </w:trPr>
        <w:tc>
          <w:tcPr>
            <w:tcW w:w="2069" w:type="pct"/>
            <w:vAlign w:val="center"/>
            <w:hideMark/>
          </w:tcPr>
          <w:p w14:paraId="4DB2E0B1" w14:textId="77777777" w:rsidR="00AE1E85" w:rsidRPr="00AE1E85" w:rsidRDefault="00AE1E85" w:rsidP="00AE1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температура начала кипения, </w:t>
            </w:r>
            <w:proofErr w:type="spellStart"/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eastAsia="ru-RU"/>
                <w14:ligatures w14:val="none"/>
              </w:rPr>
              <w:t>о</w:t>
            </w: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</w:t>
            </w:r>
            <w:proofErr w:type="spellEnd"/>
          </w:p>
        </w:tc>
        <w:tc>
          <w:tcPr>
            <w:tcW w:w="729" w:type="pct"/>
            <w:vAlign w:val="center"/>
            <w:hideMark/>
          </w:tcPr>
          <w:p w14:paraId="6262BECA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729" w:type="pct"/>
            <w:vAlign w:val="center"/>
            <w:hideMark/>
          </w:tcPr>
          <w:p w14:paraId="013E4778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737" w:type="pct"/>
            <w:vAlign w:val="center"/>
            <w:hideMark/>
          </w:tcPr>
          <w:p w14:paraId="4D487247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61-120</w:t>
            </w:r>
          </w:p>
        </w:tc>
        <w:tc>
          <w:tcPr>
            <w:tcW w:w="736" w:type="pct"/>
            <w:vAlign w:val="center"/>
            <w:hideMark/>
          </w:tcPr>
          <w:p w14:paraId="6F54E3A9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</w:t>
            </w:r>
          </w:p>
        </w:tc>
      </w:tr>
      <w:tr w:rsidR="00AE1E85" w:rsidRPr="00AE1E85" w14:paraId="0856BC38" w14:textId="77777777" w:rsidTr="005E46C8">
        <w:trPr>
          <w:trHeight w:val="170"/>
        </w:trPr>
        <w:tc>
          <w:tcPr>
            <w:tcW w:w="2069" w:type="pct"/>
            <w:vAlign w:val="center"/>
            <w:hideMark/>
          </w:tcPr>
          <w:p w14:paraId="1782E53B" w14:textId="77777777" w:rsidR="00AE1E85" w:rsidRPr="00AE1E85" w:rsidRDefault="00AE1E85" w:rsidP="00AE1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 100 </w:t>
            </w:r>
            <w:proofErr w:type="spellStart"/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eastAsia="ru-RU"/>
                <w14:ligatures w14:val="none"/>
              </w:rPr>
              <w:t>о</w:t>
            </w: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</w:t>
            </w:r>
            <w:proofErr w:type="spellEnd"/>
          </w:p>
        </w:tc>
        <w:tc>
          <w:tcPr>
            <w:tcW w:w="729" w:type="pct"/>
            <w:vAlign w:val="center"/>
            <w:hideMark/>
          </w:tcPr>
          <w:p w14:paraId="13A0C009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729" w:type="pct"/>
            <w:vAlign w:val="center"/>
            <w:hideMark/>
          </w:tcPr>
          <w:p w14:paraId="18F3C435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737" w:type="pct"/>
            <w:vAlign w:val="center"/>
            <w:hideMark/>
          </w:tcPr>
          <w:p w14:paraId="5ABADBCD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0,5-7,0</w:t>
            </w:r>
          </w:p>
        </w:tc>
        <w:tc>
          <w:tcPr>
            <w:tcW w:w="736" w:type="pct"/>
            <w:vAlign w:val="center"/>
            <w:hideMark/>
          </w:tcPr>
          <w:p w14:paraId="4D8F2A4D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2,6</w:t>
            </w:r>
          </w:p>
        </w:tc>
      </w:tr>
      <w:tr w:rsidR="00AE1E85" w:rsidRPr="00AE1E85" w14:paraId="47C2840B" w14:textId="77777777" w:rsidTr="005E46C8">
        <w:trPr>
          <w:trHeight w:val="170"/>
        </w:trPr>
        <w:tc>
          <w:tcPr>
            <w:tcW w:w="2069" w:type="pct"/>
            <w:vAlign w:val="center"/>
            <w:hideMark/>
          </w:tcPr>
          <w:p w14:paraId="027F6792" w14:textId="77777777" w:rsidR="00AE1E85" w:rsidRPr="00AE1E85" w:rsidRDefault="00AE1E85" w:rsidP="00AE1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 150 </w:t>
            </w:r>
            <w:proofErr w:type="spellStart"/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eastAsia="ru-RU"/>
                <w14:ligatures w14:val="none"/>
              </w:rPr>
              <w:t>о</w:t>
            </w: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</w:t>
            </w:r>
            <w:proofErr w:type="spellEnd"/>
          </w:p>
        </w:tc>
        <w:tc>
          <w:tcPr>
            <w:tcW w:w="729" w:type="pct"/>
            <w:vAlign w:val="center"/>
            <w:hideMark/>
          </w:tcPr>
          <w:p w14:paraId="6CB4FA7E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729" w:type="pct"/>
            <w:vAlign w:val="center"/>
            <w:hideMark/>
          </w:tcPr>
          <w:p w14:paraId="75FAA54A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737" w:type="pct"/>
            <w:vAlign w:val="center"/>
            <w:hideMark/>
          </w:tcPr>
          <w:p w14:paraId="2BA3FFD8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3,0-15,5</w:t>
            </w:r>
          </w:p>
        </w:tc>
        <w:tc>
          <w:tcPr>
            <w:tcW w:w="736" w:type="pct"/>
            <w:vAlign w:val="center"/>
            <w:hideMark/>
          </w:tcPr>
          <w:p w14:paraId="4D9AD3F7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7,1</w:t>
            </w:r>
          </w:p>
        </w:tc>
      </w:tr>
      <w:tr w:rsidR="00AE1E85" w:rsidRPr="00AE1E85" w14:paraId="13D1596D" w14:textId="77777777" w:rsidTr="005E46C8">
        <w:trPr>
          <w:trHeight w:val="170"/>
        </w:trPr>
        <w:tc>
          <w:tcPr>
            <w:tcW w:w="2069" w:type="pct"/>
            <w:vAlign w:val="center"/>
            <w:hideMark/>
          </w:tcPr>
          <w:p w14:paraId="0C50879F" w14:textId="77777777" w:rsidR="00AE1E85" w:rsidRPr="00AE1E85" w:rsidRDefault="00AE1E85" w:rsidP="00AE1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 200 </w:t>
            </w:r>
            <w:proofErr w:type="spellStart"/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eastAsia="ru-RU"/>
                <w14:ligatures w14:val="none"/>
              </w:rPr>
              <w:t>о</w:t>
            </w: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</w:t>
            </w:r>
            <w:proofErr w:type="spellEnd"/>
          </w:p>
        </w:tc>
        <w:tc>
          <w:tcPr>
            <w:tcW w:w="729" w:type="pct"/>
            <w:vAlign w:val="center"/>
            <w:hideMark/>
          </w:tcPr>
          <w:p w14:paraId="086F8847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729" w:type="pct"/>
            <w:vAlign w:val="center"/>
            <w:hideMark/>
          </w:tcPr>
          <w:p w14:paraId="39CBB108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737" w:type="pct"/>
            <w:vAlign w:val="center"/>
            <w:hideMark/>
          </w:tcPr>
          <w:p w14:paraId="5653644F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6,0-22,7</w:t>
            </w:r>
          </w:p>
        </w:tc>
        <w:tc>
          <w:tcPr>
            <w:tcW w:w="736" w:type="pct"/>
            <w:vAlign w:val="center"/>
            <w:hideMark/>
          </w:tcPr>
          <w:p w14:paraId="583C13D3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14,9</w:t>
            </w:r>
          </w:p>
        </w:tc>
      </w:tr>
      <w:tr w:rsidR="00AE1E85" w:rsidRPr="00AE1E85" w14:paraId="4BC0EF1D" w14:textId="77777777" w:rsidTr="005E46C8">
        <w:trPr>
          <w:trHeight w:val="170"/>
        </w:trPr>
        <w:tc>
          <w:tcPr>
            <w:tcW w:w="2069" w:type="pct"/>
            <w:vAlign w:val="center"/>
            <w:hideMark/>
          </w:tcPr>
          <w:p w14:paraId="616060EB" w14:textId="77777777" w:rsidR="00AE1E85" w:rsidRPr="00AE1E85" w:rsidRDefault="00AE1E85" w:rsidP="00AE1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 250 </w:t>
            </w:r>
            <w:proofErr w:type="spellStart"/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eastAsia="ru-RU"/>
                <w14:ligatures w14:val="none"/>
              </w:rPr>
              <w:t>о</w:t>
            </w: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</w:t>
            </w:r>
            <w:proofErr w:type="spellEnd"/>
          </w:p>
        </w:tc>
        <w:tc>
          <w:tcPr>
            <w:tcW w:w="729" w:type="pct"/>
            <w:vAlign w:val="center"/>
            <w:hideMark/>
          </w:tcPr>
          <w:p w14:paraId="49730BA9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729" w:type="pct"/>
            <w:vAlign w:val="center"/>
            <w:hideMark/>
          </w:tcPr>
          <w:p w14:paraId="5D9328A3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737" w:type="pct"/>
            <w:vAlign w:val="center"/>
            <w:hideMark/>
          </w:tcPr>
          <w:p w14:paraId="718AD1AC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16,0-34,5</w:t>
            </w:r>
          </w:p>
        </w:tc>
        <w:tc>
          <w:tcPr>
            <w:tcW w:w="736" w:type="pct"/>
            <w:vAlign w:val="center"/>
            <w:hideMark/>
          </w:tcPr>
          <w:p w14:paraId="759AB93A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24,4</w:t>
            </w:r>
          </w:p>
        </w:tc>
      </w:tr>
      <w:tr w:rsidR="00AE1E85" w:rsidRPr="00AE1E85" w14:paraId="3B173A37" w14:textId="77777777" w:rsidTr="005E46C8">
        <w:trPr>
          <w:trHeight w:val="170"/>
        </w:trPr>
        <w:tc>
          <w:tcPr>
            <w:tcW w:w="2069" w:type="pct"/>
            <w:vAlign w:val="center"/>
            <w:hideMark/>
          </w:tcPr>
          <w:p w14:paraId="43A20DEB" w14:textId="77777777" w:rsidR="00AE1E85" w:rsidRPr="00AE1E85" w:rsidRDefault="00AE1E85" w:rsidP="00AE1E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до 300 </w:t>
            </w:r>
            <w:proofErr w:type="spellStart"/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eastAsia="ru-RU"/>
                <w14:ligatures w14:val="none"/>
              </w:rPr>
              <w:t>о</w:t>
            </w: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</w:t>
            </w:r>
            <w:proofErr w:type="spellEnd"/>
          </w:p>
        </w:tc>
        <w:tc>
          <w:tcPr>
            <w:tcW w:w="729" w:type="pct"/>
            <w:vAlign w:val="center"/>
            <w:hideMark/>
          </w:tcPr>
          <w:p w14:paraId="3AFCB6CE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729" w:type="pct"/>
            <w:vAlign w:val="center"/>
            <w:hideMark/>
          </w:tcPr>
          <w:p w14:paraId="0BFDCCCA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737" w:type="pct"/>
            <w:vAlign w:val="center"/>
            <w:hideMark/>
          </w:tcPr>
          <w:p w14:paraId="22A60D98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28,0-65,6</w:t>
            </w:r>
          </w:p>
        </w:tc>
        <w:tc>
          <w:tcPr>
            <w:tcW w:w="736" w:type="pct"/>
            <w:vAlign w:val="center"/>
            <w:hideMark/>
          </w:tcPr>
          <w:p w14:paraId="57643A23" w14:textId="77777777" w:rsidR="00AE1E85" w:rsidRPr="00AE1E85" w:rsidRDefault="00AE1E85" w:rsidP="00AE1E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E1E8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38,3</w:t>
            </w:r>
          </w:p>
        </w:tc>
      </w:tr>
    </w:tbl>
    <w:p w14:paraId="0521203C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По состоянию на 01.08.2025 г. общий фонд пробуренных скважин на месторождении Северное Придорожное составляет 10 единиц. Распределение фонда скважин представлено в таблице 3.2.</w:t>
      </w:r>
    </w:p>
    <w:p w14:paraId="239D11A8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  <w:t xml:space="preserve">Таблица 1.5. – Фонд скважин </w:t>
      </w:r>
      <w:proofErr w:type="spellStart"/>
      <w:r w:rsidRPr="00AF385E"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  <w:t>м.р</w:t>
      </w:r>
      <w:proofErr w:type="spellEnd"/>
      <w:r w:rsidRPr="00AF385E"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  <w:t>. Северное Придорожное по состоянию на 01.09.2026 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3847"/>
        <w:gridCol w:w="4070"/>
        <w:gridCol w:w="640"/>
      </w:tblGrid>
      <w:tr w:rsidR="00AF385E" w:rsidRPr="00AF385E" w14:paraId="430CD6CF" w14:textId="77777777" w:rsidTr="00216F6C">
        <w:trPr>
          <w:trHeight w:val="312"/>
        </w:trPr>
        <w:tc>
          <w:tcPr>
            <w:tcW w:w="425" w:type="pct"/>
            <w:vAlign w:val="center"/>
            <w:hideMark/>
          </w:tcPr>
          <w:p w14:paraId="5BBB1A3F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0" w:name="_Hlk207291497"/>
            <w:r w:rsidRPr="00AF385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2062" w:type="pct"/>
            <w:noWrap/>
            <w:vAlign w:val="center"/>
            <w:hideMark/>
          </w:tcPr>
          <w:p w14:paraId="33EAC6EB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Фонд</w:t>
            </w:r>
          </w:p>
        </w:tc>
        <w:tc>
          <w:tcPr>
            <w:tcW w:w="2181" w:type="pct"/>
            <w:vAlign w:val="center"/>
            <w:hideMark/>
          </w:tcPr>
          <w:p w14:paraId="50DDEBA7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Номера скважин</w:t>
            </w:r>
          </w:p>
        </w:tc>
        <w:tc>
          <w:tcPr>
            <w:tcW w:w="333" w:type="pct"/>
            <w:vAlign w:val="center"/>
            <w:hideMark/>
          </w:tcPr>
          <w:p w14:paraId="6CA64E0A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Кол-во</w:t>
            </w:r>
          </w:p>
        </w:tc>
      </w:tr>
      <w:tr w:rsidR="00AF385E" w:rsidRPr="00AF385E" w14:paraId="37EC79E8" w14:textId="77777777" w:rsidTr="00216F6C">
        <w:trPr>
          <w:trHeight w:val="312"/>
        </w:trPr>
        <w:tc>
          <w:tcPr>
            <w:tcW w:w="425" w:type="pct"/>
            <w:noWrap/>
            <w:vAlign w:val="center"/>
            <w:hideMark/>
          </w:tcPr>
          <w:p w14:paraId="5E99A2BB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062" w:type="pct"/>
            <w:vAlign w:val="center"/>
            <w:hideMark/>
          </w:tcPr>
          <w:p w14:paraId="4704D07A" w14:textId="77777777" w:rsidR="00AF385E" w:rsidRPr="00AF385E" w:rsidRDefault="00AF385E" w:rsidP="00AF3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Эксплуатационный фонд, в том числе:</w:t>
            </w:r>
          </w:p>
        </w:tc>
        <w:tc>
          <w:tcPr>
            <w:tcW w:w="2181" w:type="pct"/>
            <w:vAlign w:val="center"/>
            <w:hideMark/>
          </w:tcPr>
          <w:p w14:paraId="1EBEAB6B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3, 13, 4, 50</w:t>
            </w:r>
          </w:p>
        </w:tc>
        <w:tc>
          <w:tcPr>
            <w:tcW w:w="333" w:type="pct"/>
            <w:vAlign w:val="center"/>
            <w:hideMark/>
          </w:tcPr>
          <w:p w14:paraId="13C2EC35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</w:tr>
      <w:tr w:rsidR="00AF385E" w:rsidRPr="00AF385E" w14:paraId="7A8CA6C3" w14:textId="77777777" w:rsidTr="00216F6C">
        <w:trPr>
          <w:trHeight w:val="312"/>
        </w:trPr>
        <w:tc>
          <w:tcPr>
            <w:tcW w:w="425" w:type="pct"/>
            <w:noWrap/>
            <w:vAlign w:val="center"/>
            <w:hideMark/>
          </w:tcPr>
          <w:p w14:paraId="060D8C28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</w:t>
            </w:r>
          </w:p>
        </w:tc>
        <w:tc>
          <w:tcPr>
            <w:tcW w:w="2062" w:type="pct"/>
            <w:noWrap/>
            <w:vAlign w:val="center"/>
            <w:hideMark/>
          </w:tcPr>
          <w:p w14:paraId="50C689F6" w14:textId="77777777" w:rsidR="00AF385E" w:rsidRPr="00AF385E" w:rsidRDefault="00AF385E" w:rsidP="00AF38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действующие</w:t>
            </w:r>
          </w:p>
        </w:tc>
        <w:tc>
          <w:tcPr>
            <w:tcW w:w="2181" w:type="pct"/>
            <w:vAlign w:val="center"/>
            <w:hideMark/>
          </w:tcPr>
          <w:p w14:paraId="6BA77B61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333" w:type="pct"/>
            <w:vAlign w:val="center"/>
            <w:hideMark/>
          </w:tcPr>
          <w:p w14:paraId="1335305A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</w:tr>
      <w:tr w:rsidR="00AF385E" w:rsidRPr="00AF385E" w14:paraId="0C8D6A1A" w14:textId="77777777" w:rsidTr="00216F6C">
        <w:trPr>
          <w:trHeight w:val="312"/>
        </w:trPr>
        <w:tc>
          <w:tcPr>
            <w:tcW w:w="425" w:type="pct"/>
            <w:noWrap/>
            <w:vAlign w:val="center"/>
            <w:hideMark/>
          </w:tcPr>
          <w:p w14:paraId="00E67E48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1.2</w:t>
            </w:r>
          </w:p>
        </w:tc>
        <w:tc>
          <w:tcPr>
            <w:tcW w:w="2062" w:type="pct"/>
            <w:noWrap/>
            <w:vAlign w:val="center"/>
            <w:hideMark/>
          </w:tcPr>
          <w:p w14:paraId="258731F3" w14:textId="77777777" w:rsidR="00AF385E" w:rsidRPr="00AF385E" w:rsidRDefault="00AF385E" w:rsidP="00AF38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бездействующие</w:t>
            </w:r>
          </w:p>
        </w:tc>
        <w:tc>
          <w:tcPr>
            <w:tcW w:w="2181" w:type="pct"/>
            <w:vAlign w:val="center"/>
            <w:hideMark/>
          </w:tcPr>
          <w:p w14:paraId="4E940E0B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13, 50, 4</w:t>
            </w:r>
          </w:p>
        </w:tc>
        <w:tc>
          <w:tcPr>
            <w:tcW w:w="333" w:type="pct"/>
            <w:vAlign w:val="center"/>
            <w:hideMark/>
          </w:tcPr>
          <w:p w14:paraId="20EBAE60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</w:tr>
      <w:tr w:rsidR="00AF385E" w:rsidRPr="00AF385E" w14:paraId="45FF7E2F" w14:textId="77777777" w:rsidTr="00216F6C">
        <w:trPr>
          <w:trHeight w:val="312"/>
        </w:trPr>
        <w:tc>
          <w:tcPr>
            <w:tcW w:w="425" w:type="pct"/>
            <w:noWrap/>
            <w:vAlign w:val="center"/>
            <w:hideMark/>
          </w:tcPr>
          <w:p w14:paraId="282C1707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1.3</w:t>
            </w:r>
          </w:p>
        </w:tc>
        <w:tc>
          <w:tcPr>
            <w:tcW w:w="2062" w:type="pct"/>
            <w:noWrap/>
            <w:vAlign w:val="center"/>
            <w:hideMark/>
          </w:tcPr>
          <w:p w14:paraId="3E7C2822" w14:textId="77777777" w:rsidR="00AF385E" w:rsidRPr="00AF385E" w:rsidRDefault="00AF385E" w:rsidP="00AF38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 в процессе КРС</w:t>
            </w:r>
          </w:p>
        </w:tc>
        <w:tc>
          <w:tcPr>
            <w:tcW w:w="2181" w:type="pct"/>
            <w:vAlign w:val="center"/>
            <w:hideMark/>
          </w:tcPr>
          <w:p w14:paraId="3C1C69DB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333" w:type="pct"/>
            <w:vAlign w:val="center"/>
            <w:hideMark/>
          </w:tcPr>
          <w:p w14:paraId="2915D7AB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</w:tr>
      <w:tr w:rsidR="00AF385E" w:rsidRPr="00AF385E" w14:paraId="066B5AF4" w14:textId="77777777" w:rsidTr="00216F6C">
        <w:trPr>
          <w:trHeight w:val="312"/>
        </w:trPr>
        <w:tc>
          <w:tcPr>
            <w:tcW w:w="425" w:type="pct"/>
            <w:noWrap/>
            <w:vAlign w:val="center"/>
            <w:hideMark/>
          </w:tcPr>
          <w:p w14:paraId="75989A5A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1.4</w:t>
            </w:r>
          </w:p>
        </w:tc>
        <w:tc>
          <w:tcPr>
            <w:tcW w:w="2062" w:type="pct"/>
            <w:noWrap/>
            <w:vAlign w:val="center"/>
            <w:hideMark/>
          </w:tcPr>
          <w:p w14:paraId="7A666142" w14:textId="77777777" w:rsidR="00AF385E" w:rsidRPr="00AF385E" w:rsidRDefault="00AF385E" w:rsidP="00AF38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 консервации (ожидание КРС)</w:t>
            </w:r>
          </w:p>
        </w:tc>
        <w:tc>
          <w:tcPr>
            <w:tcW w:w="2181" w:type="pct"/>
            <w:vAlign w:val="center"/>
            <w:hideMark/>
          </w:tcPr>
          <w:p w14:paraId="44AE16D7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  <w:r w:rsidRPr="00AF385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D</w:t>
            </w:r>
            <w:r w:rsidRPr="00AF385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 14, 51, 52</w:t>
            </w:r>
          </w:p>
        </w:tc>
        <w:tc>
          <w:tcPr>
            <w:tcW w:w="333" w:type="pct"/>
            <w:vAlign w:val="center"/>
            <w:hideMark/>
          </w:tcPr>
          <w:p w14:paraId="65AF054D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</w:tr>
      <w:tr w:rsidR="00AF385E" w:rsidRPr="00AF385E" w14:paraId="3217A0F2" w14:textId="77777777" w:rsidTr="00216F6C">
        <w:trPr>
          <w:trHeight w:val="312"/>
        </w:trPr>
        <w:tc>
          <w:tcPr>
            <w:tcW w:w="425" w:type="pct"/>
            <w:noWrap/>
            <w:vAlign w:val="center"/>
            <w:hideMark/>
          </w:tcPr>
          <w:p w14:paraId="5F8CFF68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2062" w:type="pct"/>
            <w:vAlign w:val="center"/>
            <w:hideMark/>
          </w:tcPr>
          <w:p w14:paraId="3F2F1E89" w14:textId="77777777" w:rsidR="00AF385E" w:rsidRPr="00AF385E" w:rsidRDefault="00AF385E" w:rsidP="00AF3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Ликвидированный фонд</w:t>
            </w:r>
          </w:p>
        </w:tc>
        <w:tc>
          <w:tcPr>
            <w:tcW w:w="2181" w:type="pct"/>
            <w:vAlign w:val="center"/>
            <w:hideMark/>
          </w:tcPr>
          <w:p w14:paraId="0DB33AE0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5, 12</w:t>
            </w:r>
          </w:p>
        </w:tc>
        <w:tc>
          <w:tcPr>
            <w:tcW w:w="333" w:type="pct"/>
            <w:vAlign w:val="center"/>
            <w:hideMark/>
          </w:tcPr>
          <w:p w14:paraId="2FE65355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AF385E" w:rsidRPr="00AF385E" w14:paraId="690B6254" w14:textId="77777777" w:rsidTr="00216F6C">
        <w:trPr>
          <w:trHeight w:val="312"/>
        </w:trPr>
        <w:tc>
          <w:tcPr>
            <w:tcW w:w="4667" w:type="pct"/>
            <w:gridSpan w:val="3"/>
            <w:noWrap/>
            <w:vAlign w:val="center"/>
            <w:hideMark/>
          </w:tcPr>
          <w:p w14:paraId="4F863F2D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Общий фонд</w:t>
            </w:r>
          </w:p>
        </w:tc>
        <w:tc>
          <w:tcPr>
            <w:tcW w:w="333" w:type="pct"/>
            <w:vAlign w:val="center"/>
            <w:hideMark/>
          </w:tcPr>
          <w:p w14:paraId="6C328453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</w:tr>
    </w:tbl>
    <w:bookmarkEnd w:id="0"/>
    <w:p w14:paraId="74C82C38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  <w:t>Таблица 1.6. Проектные технологические показатели по месторождению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8"/>
        <w:gridCol w:w="2861"/>
        <w:gridCol w:w="2839"/>
        <w:gridCol w:w="2506"/>
      </w:tblGrid>
      <w:tr w:rsidR="00AF385E" w:rsidRPr="00AF385E" w14:paraId="622EE11B" w14:textId="77777777" w:rsidTr="00216F6C">
        <w:trPr>
          <w:trHeight w:val="397"/>
        </w:trPr>
        <w:tc>
          <w:tcPr>
            <w:tcW w:w="609" w:type="pct"/>
            <w:vAlign w:val="center"/>
            <w:hideMark/>
          </w:tcPr>
          <w:p w14:paraId="3E555C47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Год</w:t>
            </w:r>
          </w:p>
        </w:tc>
        <w:tc>
          <w:tcPr>
            <w:tcW w:w="1531" w:type="pct"/>
            <w:vAlign w:val="center"/>
            <w:hideMark/>
          </w:tcPr>
          <w:p w14:paraId="6BC1D40D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Добыча нефти, тыс. т</w:t>
            </w:r>
          </w:p>
        </w:tc>
        <w:tc>
          <w:tcPr>
            <w:tcW w:w="1519" w:type="pct"/>
            <w:vAlign w:val="center"/>
            <w:hideMark/>
          </w:tcPr>
          <w:p w14:paraId="05F0E2C6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Добыча газа, млн м</w:t>
            </w:r>
            <w:r w:rsidRPr="00AF385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vertAlign w:val="superscript"/>
                <w:lang w:eastAsia="ru-RU"/>
                <w14:ligatures w14:val="none"/>
              </w:rPr>
              <w:t>3</w:t>
            </w:r>
          </w:p>
        </w:tc>
        <w:tc>
          <w:tcPr>
            <w:tcW w:w="1341" w:type="pct"/>
            <w:vAlign w:val="center"/>
          </w:tcPr>
          <w:p w14:paraId="053876B6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Ввод скважин из бурения, ед.</w:t>
            </w:r>
          </w:p>
        </w:tc>
      </w:tr>
      <w:tr w:rsidR="00AF385E" w:rsidRPr="00AF385E" w14:paraId="35185DD8" w14:textId="77777777" w:rsidTr="00216F6C">
        <w:trPr>
          <w:trHeight w:val="397"/>
        </w:trPr>
        <w:tc>
          <w:tcPr>
            <w:tcW w:w="609" w:type="pct"/>
            <w:noWrap/>
            <w:vAlign w:val="center"/>
            <w:hideMark/>
          </w:tcPr>
          <w:p w14:paraId="3B7EC378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531" w:type="pct"/>
            <w:noWrap/>
            <w:vAlign w:val="center"/>
          </w:tcPr>
          <w:p w14:paraId="091D9356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9,8</w:t>
            </w:r>
          </w:p>
        </w:tc>
        <w:tc>
          <w:tcPr>
            <w:tcW w:w="1519" w:type="pct"/>
            <w:noWrap/>
            <w:vAlign w:val="center"/>
          </w:tcPr>
          <w:p w14:paraId="4EA9FB52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1,330</w:t>
            </w:r>
          </w:p>
        </w:tc>
        <w:tc>
          <w:tcPr>
            <w:tcW w:w="1341" w:type="pct"/>
            <w:noWrap/>
            <w:vAlign w:val="center"/>
          </w:tcPr>
          <w:p w14:paraId="6A1B51A7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</w:tr>
    </w:tbl>
    <w:p w14:paraId="02D4E9B6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  <w:t xml:space="preserve">КРС — </w:t>
      </w: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это капитальный ремонт скважин.</w:t>
      </w:r>
      <w:r w:rsidRPr="00AF385E">
        <w:rPr>
          <w:rFonts w:ascii="Arial" w:eastAsia="Times New Roman" w:hAnsi="Arial" w:cs="Times New Roman"/>
          <w:kern w:val="0"/>
          <w:szCs w:val="20"/>
          <w:lang w:eastAsia="ru-RU"/>
          <w14:ligatures w14:val="none"/>
        </w:rPr>
        <w:t xml:space="preserve"> </w:t>
      </w: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Это вид ремонтных работ, выполняемых в нефтегазовой отрасли для восстановления, улучшения или изменения состояния скважины. КРС относят к наиболее сложным видам ремонта, так как он затрагивает конструкцию и оборудование скважины на значительную глубину.</w:t>
      </w:r>
    </w:p>
    <w:p w14:paraId="3D168E1C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Основные цели:</w:t>
      </w:r>
    </w:p>
    <w:p w14:paraId="25569B59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- устранение аварий и неисправностей оборудования в скважине;</w:t>
      </w:r>
    </w:p>
    <w:p w14:paraId="06926147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- восстановление герметичности обсадных колонн;</w:t>
      </w:r>
    </w:p>
    <w:p w14:paraId="38AAA042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- ликвидация аварийных объектов (обрыв труб, прихват и др.);</w:t>
      </w:r>
    </w:p>
    <w:p w14:paraId="04D2D80D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- перевод скважины на другой объект (пласт);</w:t>
      </w:r>
    </w:p>
    <w:p w14:paraId="27B7168F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- увеличение дебита или подготовка к дальнейшей эксплуатации.</w:t>
      </w:r>
    </w:p>
    <w:p w14:paraId="35E92964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  <w:t>График проведения КРС на месторождении Северное Придорожное в 2027 гг.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92"/>
        <w:gridCol w:w="1826"/>
        <w:gridCol w:w="1894"/>
        <w:gridCol w:w="1826"/>
        <w:gridCol w:w="2396"/>
      </w:tblGrid>
      <w:tr w:rsidR="00AF385E" w:rsidRPr="00AF385E" w14:paraId="7A887E6E" w14:textId="77777777" w:rsidTr="00216F6C">
        <w:trPr>
          <w:trHeight w:val="315"/>
        </w:trPr>
        <w:tc>
          <w:tcPr>
            <w:tcW w:w="12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E7E6E6"/>
            <w:vAlign w:val="center"/>
            <w:hideMark/>
          </w:tcPr>
          <w:p w14:paraId="4CE5B912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скважины</w:t>
            </w:r>
          </w:p>
        </w:tc>
        <w:tc>
          <w:tcPr>
            <w:tcW w:w="160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E7E6E6"/>
            <w:vAlign w:val="center"/>
            <w:hideMark/>
          </w:tcPr>
          <w:p w14:paraId="23F9B5EB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Начало КРС</w:t>
            </w:r>
          </w:p>
        </w:tc>
        <w:tc>
          <w:tcPr>
            <w:tcW w:w="166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E7E6E6"/>
            <w:vAlign w:val="center"/>
            <w:hideMark/>
          </w:tcPr>
          <w:p w14:paraId="3DC4ABB3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Окончание КРС</w:t>
            </w:r>
          </w:p>
        </w:tc>
        <w:tc>
          <w:tcPr>
            <w:tcW w:w="160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E7E6E6"/>
            <w:vAlign w:val="center"/>
            <w:hideMark/>
          </w:tcPr>
          <w:p w14:paraId="3CFBB5C3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Начало освоения</w:t>
            </w:r>
          </w:p>
        </w:tc>
        <w:tc>
          <w:tcPr>
            <w:tcW w:w="210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E7E6E6"/>
            <w:vAlign w:val="center"/>
            <w:hideMark/>
          </w:tcPr>
          <w:p w14:paraId="1F78DB79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Ввод в эксплуатацию</w:t>
            </w:r>
          </w:p>
        </w:tc>
      </w:tr>
      <w:tr w:rsidR="00AF385E" w:rsidRPr="00AF385E" w14:paraId="722B540C" w14:textId="77777777" w:rsidTr="00216F6C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61673B1E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Скв</w:t>
            </w:r>
            <w:proofErr w:type="spellEnd"/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 №12Д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5053E329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1-е полугодие 2027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3D3E8000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1-е полугодие 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21C14D41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1-е полугодие 2027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0FBD7482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1-е полугодие 2027</w:t>
            </w:r>
          </w:p>
        </w:tc>
      </w:tr>
      <w:tr w:rsidR="00AF385E" w:rsidRPr="00AF385E" w14:paraId="40F144EE" w14:textId="77777777" w:rsidTr="00216F6C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034452BD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Скв</w:t>
            </w:r>
            <w:proofErr w:type="spellEnd"/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 №52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6F26D23B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1-е полугодие 2027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3F5C1CC5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2-е полугодие 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4BC87B5F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2-е полугодие 2027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6531C220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2-е полугодие 2027</w:t>
            </w:r>
          </w:p>
        </w:tc>
      </w:tr>
      <w:tr w:rsidR="00AF385E" w:rsidRPr="00AF385E" w14:paraId="2EF6F329" w14:textId="77777777" w:rsidTr="00216F6C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02EE293E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Скв</w:t>
            </w:r>
            <w:proofErr w:type="spellEnd"/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 №51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05B0EDA5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2-е полугодие 2027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6F99764F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2-е полугодие 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6D5C9B57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2-е полугодие 2027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14C043D5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2-е полугодие 2027</w:t>
            </w:r>
          </w:p>
        </w:tc>
      </w:tr>
      <w:tr w:rsidR="00AF385E" w:rsidRPr="00AF385E" w14:paraId="598EF512" w14:textId="77777777" w:rsidTr="00216F6C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52DB28E3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Скв</w:t>
            </w:r>
            <w:proofErr w:type="spellEnd"/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 №14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3CBC60C2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2-е полугодие 2027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21D8D994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2-е полугодие 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171FDA36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2-е полугодие 2027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3C02FC1F" w14:textId="77777777" w:rsidR="00AF385E" w:rsidRPr="00AF385E" w:rsidRDefault="00AF385E" w:rsidP="00AF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F38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2-е полугодие 2027</w:t>
            </w:r>
          </w:p>
        </w:tc>
      </w:tr>
    </w:tbl>
    <w:p w14:paraId="55DD1F94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  <w:t>Существующая система сбора и подготовки нефти и газа</w:t>
      </w:r>
    </w:p>
    <w:p w14:paraId="1F114450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Сбор и подготовка нефти и газа на месторождении Северное Придорожное организованы по герметичной централизованной схеме, с учетом технологических, экономических и экологических требований.</w:t>
      </w:r>
    </w:p>
    <w:p w14:paraId="747678D7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Технологический процесс внутрипромыслового сбора, транспорта, замера и подготовки скважинной продукции на месторождении осуществляется следующим образом:</w:t>
      </w:r>
    </w:p>
    <w:p w14:paraId="0006D0C3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Нефтегазовая смесь из добывающих скважин по выкидным трубопроводам Ø80 мм за счет избыточного устьевого давления от каждой скважины поступает в блок гребенки (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манифольд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) на площадке групповой замерной установки (ГЗУ), расположенной на установке сбора и подготовки нефти и газа (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УСПНиГ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). Путем переключения запорных арматур на 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манифольде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осуществляется поочередный замер суточной добычи каждой скважины с подачей газожидкостной смеси (ГЖС) </w:t>
      </w:r>
      <w:proofErr w:type="gram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в замерной нефтегазовый сепаратор</w:t>
      </w:r>
      <w:proofErr w:type="gram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ГС-1. Продукция остальных скважин в общем потоке по трубопроводу Ø150 мм направляется </w:t>
      </w: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lastRenderedPageBreak/>
        <w:t>в горизонтальные нефтегазовые сепараторы Е-1/Е-2, типа НГС-1,0-3000, для сбора и последующей откачки на подготовку.</w:t>
      </w:r>
    </w:p>
    <w:p w14:paraId="208377AC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Поток ГЖС одной скважины из 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манифольда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, проходя по линии Ø100 мм, поступает в вертикальный нефтегазовый сепаратор ГС-1 для сепарации попутного нефтяного газа. Объем выделившегося из сепаратора ГС-1 попутного нефтяного газа замеряется газовым счетчиком, установленным на линии выхода газа из сепаратора. Объем жидкости замеряется счетчиком жидкости, установленным на линии выхода жидкости из сепаратора ГС-1. После замеров жидкость с газом вновь соединяются в один трубопровод и сырье, объединившись с продукцией остальных скважин, подается на УПН для дальнейшей подготовки.    </w:t>
      </w:r>
    </w:p>
    <w:p w14:paraId="6E92C91D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ГЖС от ГЗУ по трубопроводу Ø150 мм поступает в один из 2-х параллельно работающих нефтегазовых сепараторов Е-1/Е-2 типа НГС-1,0-3000, объемом 50 м3 каждый, где осуществляется отделение попутного газа, пластовой воды и механических примесей от нефти. Отделившийся попутный газ через верхние патрубки сепараторов Е-1/Е-2, объединившись в газосборную трубу Ø150 мм, направляется к вертикальному газовому сепаратору ГС-2 типа ГС II-4-1200, находящемуся на площадке установки подготовки газа (УПГ), для очистки газа от углеводородного конденсата и механических примесей. </w:t>
      </w:r>
    </w:p>
    <w:p w14:paraId="103A5DE4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Нефть из сепараторов Е-1/Е-2 с помощью поршневых насосов Н-1 и/или Н-2, Н-3 типа НБ-50 проходит через печи подогрева нефти П-1 и/или П-2 типа ПП-0,63, перекачивается в технологические емкости Е-3 и/или Е-4 типа ГЭЭА 1-100, объемом 100 м3 каждый. </w:t>
      </w:r>
    </w:p>
    <w:p w14:paraId="2A30AD26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После откачки жидкости из сепараторов Е-1/Е-2 до минимального рабочего уровня, запорные арматуры на выходе нефти из аппаратов закрываются и производится набор ГЖС. При этом отделившийся от жидкости газ продолжает направляться по схеме на УПГ. </w:t>
      </w:r>
    </w:p>
    <w:p w14:paraId="286F62EC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Нефть, набранная в Е-3 (Е-4), подвергается циркуляция по схеме: Е-3 (Е-4) Н-1</w:t>
      </w:r>
      <w:proofErr w:type="gram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  (</w:t>
      </w:r>
      <w:proofErr w:type="gram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Н-2, Н-3) П-1 (П-2) Е-3 (Е-4) на протяжении 1,5-2 часов. Нефть в П-1 (П-2) нагревается до температуры ~ 60-70 ºС. Циркуляция нефти с нагревом является способом ее подготовки для обезвоживания и обессоливания. При нагреве снижается вязкость нефти, что способствует эффективному разделению воды и солей. Это позволяет каплям воды легче сливаться друг с другом, укрупняться и утяжеляться, и отделяться от нефти за счет большего удельного веса. </w:t>
      </w:r>
    </w:p>
    <w:p w14:paraId="5432C296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После завершения циркуляции, нефть отстаивается в Е-3 (Е-4) в течение 2-2,5 часов, с последующим сбросом подтоварной воды в подземную дренажную емкость ЕД-1. </w:t>
      </w:r>
    </w:p>
    <w:p w14:paraId="3A5FDFF1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Далее, после отстоя, из Е-3 (Е-4) производится отбор проб нефти для проведения физико-химических анализов. При положительных результатах нефть с помощью насоса Н-4 типа НБ-125ИЖ перекачивается в товарную емкость Е-5 типа ГЭЭА 1-100, объемом 100 м3. В случае превышения допустимых параметров нефть из Е-3 (Е-4) подвергается повторной подготовке как указано выше.</w:t>
      </w:r>
    </w:p>
    <w:p w14:paraId="0B1EE62A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Из емкости Е-5 с помощью насоса Н-4 производится налив товарной нефти в нефтевозы для последующей реализации или транспортировки на Установку сдачи нефти (УСН), находящуюся в10-ти км от месторождения Северное Придорожное. Перед наливом нефть подогревается в печах П-1 (П-2) до температуры ~45-50ºС для поддержания текучести. Налив товарной нефти производится с наливного стояка. Учет количества налитой в нефтевозы товарной нефти производится с помощью 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корриолисового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массомера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марки ЭМИС-МАСС 260, установленного в приямке на линии Ø100 мм после печей П-1 (П-2).  </w:t>
      </w:r>
    </w:p>
    <w:p w14:paraId="3B7082EB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Параллельно во время процессов подготовки и отгрузки нефти в емкости Е-1 (Е-2) продолжает поступать ГЖС из скважин. Таким образом обеспечивается непрерывный технологический процесс.</w:t>
      </w:r>
    </w:p>
    <w:p w14:paraId="665B4AE9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В настоящее время УСН не эксплуатируется по причине несоответствия приборов узла учета требованиям технических условий АО «КазТрансОйл», а также необходимости немалых капитальных вложений.</w:t>
      </w:r>
    </w:p>
    <w:p w14:paraId="5755A8CE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Фактически нефть реализуется на малотоннажный НПЗ (резидент РК).  </w:t>
      </w:r>
    </w:p>
    <w:p w14:paraId="0C39D0B7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Газ из вертикального газового сепаратора ГС-2 типа ГС II-4-1200 после глубокой осушки используется в качестве топлива для работы печей подогрева нефти и котлов </w:t>
      </w: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lastRenderedPageBreak/>
        <w:t>модели «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Buran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Boiler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», предназначенных для подогрева воды, обогрева помещений и других бытовых объектов в вахтовом поселке.</w:t>
      </w:r>
    </w:p>
    <w:p w14:paraId="2108A2D9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Также на объекте 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УСПНиГ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предусмотрена емкость пожарной воды с подогревом типа ВГУ объемом 50 м3, где осуществляется накопление и подогрев пожарной воды в холодный период года, при отрицательной температуре окружающего воздуха. Топливом для ВГУ является попутный газ.</w:t>
      </w:r>
    </w:p>
    <w:p w14:paraId="635C124E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highlight w:val="yellow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Дренаж из технологических сетей (трубопроводов) и резервуаров поступает в подземную горизонтальную дренажную емкость типа ЕП-16-2000-1-1.</w:t>
      </w:r>
    </w:p>
    <w:p w14:paraId="5E37325F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Технологическая схема 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УСПНиГ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Северное Придорожное представлена на рисунке 2. Технологическая схема УСН представлена на рисунке 3.</w:t>
      </w:r>
    </w:p>
    <w:p w14:paraId="06943FE8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Кроме того, на месторождении Северное Придорожное была построена установка подготовки газа (УПГ), предназначенная для подготовки и доведения качества газа до требований СТ РК 1666-2017.</w:t>
      </w:r>
    </w:p>
    <w:p w14:paraId="00644F26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Проектная мощность УПГ составляет 14,892 млн м3/год (40 800 м3/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сут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).</w:t>
      </w:r>
    </w:p>
    <w:p w14:paraId="233D0A32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УПГ была введена в эксплуатацию в декабре 2007 г. в следующем блочном составе:</w:t>
      </w:r>
    </w:p>
    <w:p w14:paraId="77BCEC24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- блок очистки газа от сероводорода (БОГ);</w:t>
      </w:r>
    </w:p>
    <w:p w14:paraId="25BC1059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- блок осушки газа и регенерации гликоля (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БОГиРГ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);</w:t>
      </w:r>
    </w:p>
    <w:p w14:paraId="3ACBF622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- блок компрессорных станций (БКС);</w:t>
      </w:r>
    </w:p>
    <w:p w14:paraId="3DAE3AFD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- блок факела совмещенного (БФС);</w:t>
      </w:r>
    </w:p>
    <w:p w14:paraId="6019BE12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- газопровод протяженностью 669 м, Ø150 мм.</w:t>
      </w:r>
    </w:p>
    <w:p w14:paraId="569DA14A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Очистка попутного газа от серосодержащих компонентов осуществляется мокрым способом с применением 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барботажной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колонны и жидкого нейтрализатора сероводорода «СульфаКон-103» (формула и химический состав «СульфаКон-103» являются коммерческой тайной производителя). БОГ состоит из 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барботажной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колонны типа БК-1,0-25.00.000, поточного анализатора содержания сероводорода, циркуляционных насосов, печи подогрева нейтрализатора; емкости нейтрализатора и емкости для отработанного раствора.</w:t>
      </w:r>
    </w:p>
    <w:p w14:paraId="78416B2C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Процесс очистки газа от серосодержащих компонентов осуществляется следующим образом: попутный газ поступает в нижнюю часть 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барботажной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колонны, которая на 2/3 заполнена жидким нейтрализатором сероводорода. В колонне при тесном контакте газа с нейтрализатором происходит избирательная реакция между ионами сероводорода и активными веществами раствора. Далее очищенный от кислых компонентов газ проходит через поточный анализатор содержания сероводорода в газе и поступает на установку осушки газа гликолем.</w:t>
      </w:r>
    </w:p>
    <w:p w14:paraId="00B96848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Для поддержания температуры в 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барботажной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колонне на уровне +25+30 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оС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в схеме предусмотрен отбор нейтрализатора с нижней части колонны циркуляционными насосами и подача его через печь подогрева типа УНТ-0,2 в среднюю часть колонны. В результате реакции нейтрализации сероводорода образуются водорастворимые соединения, которые классифицируются как 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полисульфиды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.</w:t>
      </w:r>
    </w:p>
    <w:p w14:paraId="63E237D8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Осушка попутного газа на УПГ осуществляется методом абсорбции с применением в качестве поглотителя влаги 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триэтиленгликоля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(ТЭГ). Содержание влаги в попутном газе до осушки составляет порядка 6,5 гр./м3 газа. После осушки газ практически сухой.</w:t>
      </w:r>
    </w:p>
    <w:p w14:paraId="78854151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БОГиРГ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состоит из скруббера, абсорбционной колонны, теплообменника «гликоль-газ», фильтра, насосов откачки насыщенного ТЭГ, уравнительного резервуара-теплообменника, сепаратора, 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ребойлера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с регенерационной колонной, насосов откачки регенерированного ТЭГ и дренажной системы.</w:t>
      </w:r>
    </w:p>
    <w:p w14:paraId="2B27C2A7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Технологический процесс осуществляется следующим образом: очищенный газ с блока очистки потоком I поступает в скруббер (газосепаратор). В скруббере при рабочем давлении 0,2-0,4 МПа отделяется капельная жидкость от газового потока. Газ пропускается снизу вверх через каплеуловитель в контактную секцию тарелок абсорбционной колонны. В абсорбционной колонне газ движется навстречу потоку II регенерированного раствора гликоля (ТЭГ) и осушаясь выходит потоком III сверху абсорбционной колонны. Далее осушенный газ через трубчатый теплообменник «гликоль-газ» подается для использования на собственные нужды промысла, а избыток – на прием модульной компрессорной станции для сдачи потребителю.</w:t>
      </w:r>
    </w:p>
    <w:p w14:paraId="2F634ED2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Насыщенный влагой ТЭГ потоком IV отводится из нижней части колонны, проходит через фильтр и насосами откачки насыщенного ТЭГ АЦМС 2-40 подается в змеевик </w:t>
      </w: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lastRenderedPageBreak/>
        <w:t xml:space="preserve">уравнительного резервуара-теплообменника, где подогревается </w:t>
      </w:r>
      <w:proofErr w:type="gram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путем обменом</w:t>
      </w:r>
      <w:proofErr w:type="gram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тепла с регенерированным ТЭГ. Затем подогретый, насыщенный влагой ТЭГ из змеевика резервуара-теплообменника поступает в сепаратор низкого давления, где при рабочем давлении 0,07 МПа протекает отделение от ТЭГ унесенного растворенного газа.</w:t>
      </w:r>
    </w:p>
    <w:p w14:paraId="0FD39314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Далее дегазированный поток насыщенного влагой ТЭГ поступает в 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ребойлер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через нижнюю часть колонны, где подогревается до температуры 180-200 ºС. За счет поддержания высокой температуры в 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ребойлере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</w:t>
      </w:r>
      <w:proofErr w:type="gram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из потока</w:t>
      </w:r>
      <w:proofErr w:type="gram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насыщенного влагой ТЭГ выпаривается поглощенная влага, которая отводится в виде пара с верха регенерационной колонны. Регенерированный ТЭГ потоком V из сборника 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ребойлера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отводится в уравнительный резервуар-теплообменник, где отдает часть тепла насыщенному влагой ТЭГ, и насосами откачки регенерированного ТЭГ АЦМС 2-50 через теплообменник «гликоль-газ» подается наверх абсорбера.</w:t>
      </w:r>
    </w:p>
    <w:p w14:paraId="42BE1000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В блоке осушки газа предусмотрена дренажная система замкнутого цикла, по которой, в случае проведения ремонтных и профилактических работ, осуществляется слив ТЭГ из технологического оборудования в подземную горизонтальную дренажную емкость типа ЕП-16-2000-1-1, откуда по мере заполнения ТЭГ возвращается в цикл погружным насосом на вход змеевика уравнительного резервуара теплообменника или откачивается передвижными средствами.</w:t>
      </w:r>
    </w:p>
    <w:p w14:paraId="1078B083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Для подачи газа в магистральный газопровод «Жанаозен-Актау», оператором которого является АО «ИЦА» (АО «НК «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QazaqGaz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»), проложен газопровод Ø 150 мм протяженностью 669 м. Газ в газопровод подается под давлением 1,5-1,7 МПа (в зависимости от рабочего давления в магистральном газопроводе) после компримирования на блочной компрессорной станции МКС-1, 2.</w:t>
      </w:r>
    </w:p>
    <w:p w14:paraId="01184345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Очищенный и осушенный газ на компрессорную станцию подается из технологического узла учета газа (ТУУГ) после УПГ по трубопроводу Ø159 мм с давлением 0,2-0,3 МПа. Из коллектора Ø150 мм газ поступает в буферную емкость всасывающей линии компрессора. Для охлаждения во время компримирования газ проходит через </w:t>
      </w:r>
      <w:proofErr w:type="spellStart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газоохладитель</w:t>
      </w:r>
      <w:proofErr w:type="spellEnd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межступенчатый. На выходе из модульной компрессорной станции газ охлаждается в концевых охладителях АВО до температуры 20-30 °С. Выделившийся при сжатии и охлаждении конденсат накапливается в баке продувок высокого давления и периодически под давлением 1,5-2,0 МПа направляется в начало процесса подготовки нефти.</w:t>
      </w:r>
    </w:p>
    <w:p w14:paraId="1AD971F4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Технологические схемы установки очистки газа и блока осушки газа и регенерации гликоля представлены на рисунках 4-5.</w:t>
      </w:r>
    </w:p>
    <w:p w14:paraId="22F566D9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В связи с тем, что с 2017 г. месторождение Северное Придорожное находилось в консервации, установки подготовки газа к реализации в магистральный газопровод также были выведены в консервацию и по состоянию на дату разработки настоящей Программы не эксплуатируются.</w:t>
      </w:r>
    </w:p>
    <w:p w14:paraId="3B776391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Весь объем добываемого попутного газа после сепарации используется для собственных нужд в качестве топлива для подогревателей нефти и отопления вахтового поселка. Сброс газа на факел предусмотрен только в объемах технологически неизбежного сжигания. Учет газа ведется с помощью автоматизированных расходомеров.</w:t>
      </w:r>
    </w:p>
    <w:p w14:paraId="6E3393DE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sectPr w:rsidR="00AE1E85" w:rsidRPr="00AE1E85" w:rsidSect="00AE1E85">
          <w:footerReference w:type="default" r:id="rId7"/>
          <w:pgSz w:w="11906" w:h="16840" w:code="9"/>
          <w:pgMar w:top="1134" w:right="851" w:bottom="1134" w:left="1701" w:header="624" w:footer="709" w:gutter="0"/>
          <w:cols w:space="708"/>
          <w:docGrid w:linePitch="360"/>
        </w:sect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Вся система сбора и подготовки работает в автоматизированном режиме, с минимальным участием обслуживающего персонала, что позволяет эффективно управлять процессами и минимизировать воздействие на окружающую среду.</w:t>
      </w:r>
    </w:p>
    <w:p w14:paraId="4BBC9A3E" w14:textId="21890E20" w:rsidR="00AE1E85" w:rsidRPr="00AE1E85" w:rsidRDefault="00AE1E85" w:rsidP="00AE1E85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lastRenderedPageBreak/>
        <w:drawing>
          <wp:inline distT="0" distB="0" distL="0" distR="0" wp14:anchorId="1769991E" wp14:editId="61DE2046">
            <wp:extent cx="5939790" cy="3170555"/>
            <wp:effectExtent l="0" t="0" r="3810" b="0"/>
            <wp:docPr id="15730741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17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61A43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</w:pPr>
    </w:p>
    <w:p w14:paraId="56DA38BB" w14:textId="77777777" w:rsidR="00AE1E85" w:rsidRPr="00AE1E85" w:rsidRDefault="00AE1E85" w:rsidP="00AE1E8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i/>
          <w:kern w:val="0"/>
          <w:u w:val="single"/>
          <w:lang w:eastAsia="ru-RU"/>
          <w14:ligatures w14:val="none"/>
        </w:rPr>
      </w:pPr>
      <w:r w:rsidRPr="00AE1E85">
        <w:rPr>
          <w:rFonts w:ascii="Arial" w:eastAsia="Times New Roman" w:hAnsi="Arial" w:cs="Arial"/>
          <w:b/>
          <w:i/>
          <w:kern w:val="0"/>
          <w:u w:val="single"/>
          <w:lang w:eastAsia="ru-RU"/>
          <w14:ligatures w14:val="none"/>
        </w:rPr>
        <w:t xml:space="preserve">Рисунок 2 - Технологическая схема </w:t>
      </w:r>
      <w:proofErr w:type="spellStart"/>
      <w:r w:rsidRPr="00AE1E85">
        <w:rPr>
          <w:rFonts w:ascii="Arial" w:eastAsia="Times New Roman" w:hAnsi="Arial" w:cs="Arial"/>
          <w:b/>
          <w:i/>
          <w:kern w:val="0"/>
          <w:u w:val="single"/>
          <w:lang w:eastAsia="ru-RU"/>
          <w14:ligatures w14:val="none"/>
        </w:rPr>
        <w:t>УСПНиГ</w:t>
      </w:r>
      <w:proofErr w:type="spellEnd"/>
      <w:r w:rsidRPr="00AE1E85">
        <w:rPr>
          <w:rFonts w:ascii="Arial" w:eastAsia="Times New Roman" w:hAnsi="Arial" w:cs="Arial"/>
          <w:b/>
          <w:i/>
          <w:kern w:val="0"/>
          <w:u w:val="single"/>
          <w:lang w:eastAsia="ru-RU"/>
          <w14:ligatures w14:val="none"/>
        </w:rPr>
        <w:t xml:space="preserve"> Северное Придорожное</w:t>
      </w:r>
    </w:p>
    <w:p w14:paraId="0CBF4736" w14:textId="77777777" w:rsidR="00AE1E85" w:rsidRPr="00AE1E85" w:rsidRDefault="00AE1E85" w:rsidP="00AE1E85">
      <w:pPr>
        <w:spacing w:after="0" w:line="240" w:lineRule="auto"/>
        <w:jc w:val="center"/>
        <w:rPr>
          <w:rFonts w:ascii="Arial" w:eastAsia="Times New Roman" w:hAnsi="Arial" w:cs="Arial"/>
          <w:b/>
          <w:i/>
          <w:kern w:val="0"/>
          <w:u w:val="single"/>
          <w:lang w:eastAsia="ru-RU"/>
          <w14:ligatures w14:val="none"/>
        </w:rPr>
      </w:pPr>
    </w:p>
    <w:p w14:paraId="211B9DF6" w14:textId="77777777" w:rsidR="00AE1E85" w:rsidRPr="00AE1E85" w:rsidRDefault="00AE1E85" w:rsidP="00AE1E85">
      <w:pPr>
        <w:spacing w:after="0" w:line="240" w:lineRule="auto"/>
        <w:jc w:val="center"/>
        <w:rPr>
          <w:rFonts w:ascii="Arial" w:eastAsia="Times New Roman" w:hAnsi="Arial" w:cs="Arial"/>
          <w:b/>
          <w:i/>
          <w:kern w:val="0"/>
          <w:u w:val="single"/>
          <w:lang w:eastAsia="ru-RU"/>
          <w14:ligatures w14:val="none"/>
        </w:rPr>
      </w:pPr>
    </w:p>
    <w:p w14:paraId="3B87BAD0" w14:textId="46101E7E" w:rsidR="00AE1E85" w:rsidRPr="00AE1E85" w:rsidRDefault="00AE1E85" w:rsidP="00AE1E85">
      <w:pPr>
        <w:spacing w:after="0" w:line="240" w:lineRule="auto"/>
        <w:jc w:val="center"/>
        <w:rPr>
          <w:rFonts w:ascii="Arial" w:eastAsia="Times New Roman" w:hAnsi="Arial" w:cs="Arial"/>
          <w:b/>
          <w:i/>
          <w:kern w:val="0"/>
          <w:u w:val="single"/>
          <w:lang w:eastAsia="ru-RU"/>
          <w14:ligatures w14:val="none"/>
        </w:rPr>
      </w:pPr>
      <w:r w:rsidRPr="00AE1E8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lastRenderedPageBreak/>
        <w:drawing>
          <wp:inline distT="0" distB="0" distL="0" distR="0" wp14:anchorId="4923CCD8" wp14:editId="19CC1A0D">
            <wp:extent cx="5939790" cy="3463925"/>
            <wp:effectExtent l="0" t="0" r="3810" b="3175"/>
            <wp:docPr id="165731639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85" t="17276" r="7921" b="14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46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68C3C" w14:textId="77777777" w:rsidR="00AE1E85" w:rsidRPr="00AE1E85" w:rsidRDefault="00AE1E85" w:rsidP="00AE1E85">
      <w:pPr>
        <w:spacing w:after="0" w:line="240" w:lineRule="auto"/>
        <w:jc w:val="center"/>
        <w:rPr>
          <w:rFonts w:ascii="Arial" w:eastAsia="Times New Roman" w:hAnsi="Arial" w:cs="Arial"/>
          <w:b/>
          <w:i/>
          <w:kern w:val="0"/>
          <w:u w:val="single"/>
          <w:lang w:eastAsia="ru-RU"/>
          <w14:ligatures w14:val="none"/>
        </w:rPr>
      </w:pPr>
      <w:r w:rsidRPr="00AE1E85">
        <w:rPr>
          <w:rFonts w:ascii="Arial" w:eastAsia="Times New Roman" w:hAnsi="Arial" w:cs="Arial"/>
          <w:b/>
          <w:i/>
          <w:kern w:val="0"/>
          <w:u w:val="single"/>
          <w:lang w:eastAsia="ru-RU"/>
          <w14:ligatures w14:val="none"/>
        </w:rPr>
        <w:t>Рисунок 3. - Технологическая схема УСН Северное Придорожное</w:t>
      </w:r>
    </w:p>
    <w:p w14:paraId="390ECF5C" w14:textId="77777777" w:rsidR="00AE1E85" w:rsidRPr="00AE1E85" w:rsidRDefault="00AE1E85" w:rsidP="00AE1E85">
      <w:pPr>
        <w:spacing w:after="0" w:line="240" w:lineRule="auto"/>
        <w:jc w:val="center"/>
        <w:rPr>
          <w:rFonts w:ascii="Arial" w:eastAsia="Times New Roman" w:hAnsi="Arial" w:cs="Arial"/>
          <w:b/>
          <w:i/>
          <w:kern w:val="0"/>
          <w:u w:val="single"/>
          <w:lang w:eastAsia="ru-RU"/>
          <w14:ligatures w14:val="none"/>
        </w:rPr>
      </w:pPr>
    </w:p>
    <w:p w14:paraId="0835D60A" w14:textId="77777777" w:rsidR="00AE1E85" w:rsidRPr="00AE1E85" w:rsidRDefault="00AE1E85" w:rsidP="00AE1E85">
      <w:pPr>
        <w:spacing w:after="0" w:line="240" w:lineRule="auto"/>
        <w:jc w:val="center"/>
        <w:rPr>
          <w:rFonts w:ascii="Arial" w:eastAsia="Times New Roman" w:hAnsi="Arial" w:cs="Arial"/>
          <w:b/>
          <w:i/>
          <w:kern w:val="0"/>
          <w:u w:val="single"/>
          <w:lang w:eastAsia="ru-RU"/>
          <w14:ligatures w14:val="none"/>
        </w:rPr>
      </w:pPr>
    </w:p>
    <w:p w14:paraId="1460FA67" w14:textId="65585331" w:rsidR="00AE1E85" w:rsidRPr="00AE1E85" w:rsidRDefault="00AE1E85" w:rsidP="00AE1E85">
      <w:pPr>
        <w:spacing w:after="0" w:line="240" w:lineRule="auto"/>
        <w:jc w:val="center"/>
        <w:rPr>
          <w:rFonts w:ascii="Arial" w:eastAsia="Times New Roman" w:hAnsi="Arial" w:cs="Arial"/>
          <w:b/>
          <w:i/>
          <w:kern w:val="0"/>
          <w:u w:val="single"/>
          <w:lang w:eastAsia="ru-RU"/>
          <w14:ligatures w14:val="none"/>
        </w:rPr>
      </w:pPr>
      <w:r w:rsidRPr="00AE1E8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lastRenderedPageBreak/>
        <w:drawing>
          <wp:inline distT="0" distB="0" distL="0" distR="0" wp14:anchorId="7D76561A" wp14:editId="7D3E97F3">
            <wp:extent cx="5939790" cy="3980180"/>
            <wp:effectExtent l="0" t="0" r="3810" b="1270"/>
            <wp:docPr id="50897604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0399035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07" t="15520" r="7756" b="169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8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300CE" w14:textId="77777777" w:rsidR="00AE1E85" w:rsidRPr="00AE1E85" w:rsidRDefault="00AE1E85" w:rsidP="00AE1E85">
      <w:pPr>
        <w:spacing w:after="0" w:line="240" w:lineRule="auto"/>
        <w:jc w:val="center"/>
        <w:rPr>
          <w:rFonts w:ascii="Arial" w:eastAsia="Times New Roman" w:hAnsi="Arial" w:cs="Arial"/>
          <w:b/>
          <w:i/>
          <w:kern w:val="0"/>
          <w:u w:val="single"/>
          <w:lang w:eastAsia="ru-RU"/>
          <w14:ligatures w14:val="none"/>
        </w:rPr>
      </w:pPr>
      <w:r w:rsidRPr="00AE1E85">
        <w:rPr>
          <w:rFonts w:ascii="Arial" w:eastAsia="Times New Roman" w:hAnsi="Arial" w:cs="Arial"/>
          <w:b/>
          <w:i/>
          <w:kern w:val="0"/>
          <w:u w:val="single"/>
          <w:lang w:eastAsia="ru-RU"/>
          <w14:ligatures w14:val="none"/>
        </w:rPr>
        <w:t>Рисунок 4 - Технологическая схема системы очистки газа от серосодержащих компонентов</w:t>
      </w:r>
    </w:p>
    <w:p w14:paraId="41F2D24D" w14:textId="03A6B708" w:rsidR="00AE1E85" w:rsidRPr="00AE1E85" w:rsidRDefault="00AE1E85" w:rsidP="00AE1E85">
      <w:pPr>
        <w:spacing w:after="0" w:line="240" w:lineRule="auto"/>
        <w:jc w:val="center"/>
        <w:rPr>
          <w:rFonts w:ascii="Arial" w:eastAsia="Times New Roman" w:hAnsi="Arial" w:cs="Arial"/>
          <w:b/>
          <w:i/>
          <w:kern w:val="0"/>
          <w:u w:val="single"/>
          <w:lang w:eastAsia="ru-RU"/>
          <w14:ligatures w14:val="none"/>
        </w:rPr>
      </w:pPr>
      <w:r w:rsidRPr="00AE1E8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lastRenderedPageBreak/>
        <w:drawing>
          <wp:inline distT="0" distB="0" distL="0" distR="0" wp14:anchorId="3FD22945" wp14:editId="4B7286B5">
            <wp:extent cx="5939790" cy="3431540"/>
            <wp:effectExtent l="0" t="0" r="3810" b="0"/>
            <wp:docPr id="14340741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402350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44" t="14348" r="7838" b="19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43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AAA4B" w14:textId="77777777" w:rsidR="00AE1E85" w:rsidRPr="00AE1E85" w:rsidRDefault="00AE1E85" w:rsidP="00AE1E85">
      <w:pPr>
        <w:spacing w:after="0" w:line="240" w:lineRule="auto"/>
        <w:jc w:val="center"/>
        <w:rPr>
          <w:rFonts w:ascii="Arial" w:eastAsia="Times New Roman" w:hAnsi="Arial" w:cs="Arial"/>
          <w:b/>
          <w:i/>
          <w:kern w:val="0"/>
          <w:u w:val="single"/>
          <w:lang w:eastAsia="ru-RU"/>
          <w14:ligatures w14:val="none"/>
        </w:rPr>
        <w:sectPr w:rsidR="00AE1E85" w:rsidRPr="00AE1E85" w:rsidSect="00AE1E85">
          <w:pgSz w:w="16840" w:h="11906" w:orient="landscape" w:code="9"/>
          <w:pgMar w:top="1701" w:right="1134" w:bottom="851" w:left="1134" w:header="624" w:footer="709" w:gutter="0"/>
          <w:cols w:space="708"/>
          <w:docGrid w:linePitch="360"/>
        </w:sectPr>
      </w:pPr>
      <w:r w:rsidRPr="00AE1E85">
        <w:rPr>
          <w:rFonts w:ascii="Arial" w:eastAsia="Times New Roman" w:hAnsi="Arial" w:cs="Arial"/>
          <w:b/>
          <w:i/>
          <w:kern w:val="0"/>
          <w:u w:val="single"/>
          <w:lang w:eastAsia="ru-RU"/>
          <w14:ligatures w14:val="none"/>
        </w:rPr>
        <w:t>Рисунок 5. - Технологическая схема системы осушки газа и регенерации гликоля</w:t>
      </w:r>
    </w:p>
    <w:p w14:paraId="4BE3BC50" w14:textId="77777777" w:rsidR="00AE1E85" w:rsidRPr="00AE1E85" w:rsidRDefault="00AE1E85" w:rsidP="00AE1E85">
      <w:pPr>
        <w:keepNext/>
        <w:spacing w:after="0" w:line="240" w:lineRule="auto"/>
        <w:ind w:firstLine="709"/>
        <w:jc w:val="both"/>
        <w:outlineLvl w:val="1"/>
        <w:rPr>
          <w:rFonts w:ascii="Arial" w:eastAsia="Times New Roman" w:hAnsi="Arial" w:cs="Times New Roman"/>
          <w:b/>
          <w:bCs/>
          <w:i/>
          <w:iCs/>
          <w:kern w:val="0"/>
          <w:lang w:val="x-none" w:eastAsia="x-none"/>
          <w14:ligatures w14:val="none"/>
        </w:rPr>
      </w:pPr>
      <w:bookmarkStart w:id="1" w:name="_Toc305492360"/>
      <w:bookmarkStart w:id="2" w:name="_Toc71153678"/>
      <w:r w:rsidRPr="00AE1E85">
        <w:rPr>
          <w:rFonts w:ascii="Arial" w:eastAsia="Times New Roman" w:hAnsi="Arial" w:cs="Times New Roman"/>
          <w:b/>
          <w:bCs/>
          <w:i/>
          <w:iCs/>
          <w:kern w:val="0"/>
          <w:lang w:val="x-none" w:eastAsia="x-none"/>
          <w14:ligatures w14:val="none"/>
        </w:rPr>
        <w:lastRenderedPageBreak/>
        <w:t>3.2. Общая характеристика источников выбросов загрязняющих веществ в атмосферный воздух</w:t>
      </w:r>
      <w:bookmarkEnd w:id="1"/>
      <w:bookmarkEnd w:id="2"/>
      <w:r w:rsidRPr="00AE1E85">
        <w:rPr>
          <w:rFonts w:ascii="Arial" w:eastAsia="Times New Roman" w:hAnsi="Arial" w:cs="Times New Roman"/>
          <w:b/>
          <w:bCs/>
          <w:i/>
          <w:iCs/>
          <w:kern w:val="0"/>
          <w:lang w:val="x-none" w:eastAsia="x-none"/>
          <w14:ligatures w14:val="none"/>
        </w:rPr>
        <w:t xml:space="preserve"> </w:t>
      </w:r>
    </w:p>
    <w:p w14:paraId="7ABC2452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bookmarkStart w:id="3" w:name="_Toc305492361"/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Для выявления источников загрязнения атмосферы проведена инвентаризация источников выбросов, получены и систематизированы сведения о составе и количестве промышленных выбросов, выделены потенциальные источники загрязнения. </w:t>
      </w:r>
    </w:p>
    <w:p w14:paraId="1ECA6723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Качественные и количественные характеристики выбросов вредных веществ определены расчетным методом по утвержденным методикам. </w:t>
      </w:r>
    </w:p>
    <w:p w14:paraId="55E35B3E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Нумерация для стационарных источников выбросов на месторождении </w:t>
      </w:r>
      <w:bookmarkStart w:id="4" w:name="_Hlk210233462"/>
      <w:r w:rsidRPr="00AE1E85">
        <w:rPr>
          <w:rFonts w:ascii="Arial" w:eastAsia="Times New Roman" w:hAnsi="Arial" w:cs="Arial"/>
          <w:bCs/>
          <w:iCs/>
          <w:kern w:val="0"/>
          <w:lang w:val="kk-KZ" w:eastAsia="ru-RU"/>
          <w14:ligatures w14:val="none"/>
        </w:rPr>
        <w:t>Северное Придорожное</w:t>
      </w:r>
      <w:bookmarkEnd w:id="4"/>
      <w:r w:rsidRPr="00AE1E85">
        <w:rPr>
          <w:rFonts w:ascii="Arial" w:eastAsia="Times New Roman" w:hAnsi="Arial" w:cs="Arial"/>
          <w:bCs/>
          <w:iCs/>
          <w:kern w:val="0"/>
          <w:lang w:val="kk-KZ" w:eastAsia="ru-RU"/>
          <w14:ligatures w14:val="none"/>
        </w:rPr>
        <w:t xml:space="preserve"> </w:t>
      </w: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принята: </w:t>
      </w:r>
    </w:p>
    <w:p w14:paraId="0E3035D7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по организованным – например </w:t>
      </w: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sym w:font="Symbol" w:char="F02D"/>
      </w: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0001;</w:t>
      </w:r>
    </w:p>
    <w:p w14:paraId="6A8E2430" w14:textId="77777777" w:rsidR="00AE1E85" w:rsidRPr="00AE1E85" w:rsidRDefault="00AE1E85" w:rsidP="00AE1E8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по неорганизованным – например </w:t>
      </w: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sym w:font="Symbol" w:char="F02D"/>
      </w:r>
      <w:r w:rsidRPr="00AE1E85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6001.</w:t>
      </w:r>
    </w:p>
    <w:p w14:paraId="0EB9355C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</w:pPr>
      <w:bookmarkStart w:id="5" w:name="_Hlk52963748"/>
      <w:r w:rsidRPr="00AF385E"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  <w:t xml:space="preserve">Основные источники воздействия на окружающую среду при </w:t>
      </w:r>
      <w:proofErr w:type="spellStart"/>
      <w:r w:rsidRPr="00AF385E"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  <w:t>экплуатации</w:t>
      </w:r>
      <w:proofErr w:type="spellEnd"/>
    </w:p>
    <w:p w14:paraId="7240B2BB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85 источников загрязнения атмосферы, из которых 37 источников ЗВ являются организованными источниками и 48 источников ЗВ – неорганизованными. </w:t>
      </w:r>
    </w:p>
    <w:p w14:paraId="3715A57F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  <w:t>Основными источниками загрязнения атмосферного воздуха в период разработки месторождения Северное Придорожное в 2027 г. являются.</w:t>
      </w:r>
    </w:p>
    <w:p w14:paraId="547AD2D3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  <w:t>Площадка скважин</w:t>
      </w:r>
    </w:p>
    <w:p w14:paraId="06F6D2C1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Неорганизованные источники</w:t>
      </w:r>
    </w:p>
    <w:p w14:paraId="45FFF162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устья скважины №3 - источник №6001;</w:t>
      </w:r>
    </w:p>
    <w:p w14:paraId="06DC0A15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устья скважины №4 - источник №6002;</w:t>
      </w:r>
    </w:p>
    <w:p w14:paraId="427B7410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устья скважины №12Д - источник №6003;</w:t>
      </w:r>
    </w:p>
    <w:p w14:paraId="152058A4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устья скважины №13 - источник №6004;</w:t>
      </w:r>
    </w:p>
    <w:p w14:paraId="14F5425B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устья скважины №50 - источник №6005;</w:t>
      </w:r>
    </w:p>
    <w:p w14:paraId="1FFF4812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устья скважины №51 - источник №6006;</w:t>
      </w:r>
    </w:p>
    <w:p w14:paraId="1F7C980F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устья скважины №52 - источник №6007.</w:t>
      </w:r>
    </w:p>
    <w:p w14:paraId="09E22FCD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устья скважины №14 - источник №6046.</w:t>
      </w:r>
    </w:p>
    <w:p w14:paraId="45506F5D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  <w:t xml:space="preserve">Площадка </w:t>
      </w:r>
      <w:proofErr w:type="spellStart"/>
      <w:r w:rsidRPr="00AF385E"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  <w:t>УСПНиГ</w:t>
      </w:r>
      <w:proofErr w:type="spellEnd"/>
    </w:p>
    <w:p w14:paraId="39CD1CDA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  <w:t>Организованные источники</w:t>
      </w:r>
    </w:p>
    <w:p w14:paraId="0CD8976A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Печь подогрева нефти ПП-0,63 № 1- источник №0001;</w:t>
      </w:r>
    </w:p>
    <w:p w14:paraId="6C35642B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Свеча печи подогрева нефти ПП-0,63 - источник №0002;</w:t>
      </w:r>
    </w:p>
    <w:p w14:paraId="5750BB55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Печь подогрева нефти ПП-0,63 № 2- источник №0003;</w:t>
      </w:r>
    </w:p>
    <w:p w14:paraId="4F2F9381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Свеча печи подогрева нефти ПП-0,63 - источник №0004;</w:t>
      </w:r>
    </w:p>
    <w:p w14:paraId="6F3A9DB8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Дренажная емкость, ЕД-1 V- 16 м3 - источник №0005;</w:t>
      </w:r>
    </w:p>
    <w:p w14:paraId="36C17E3A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Стояк налива нефти - источник №0006;</w:t>
      </w:r>
    </w:p>
    <w:p w14:paraId="38143D94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Факельная установка - источник №0007 (сжигание газа на факеле предусматривается только технологически неизбежное сжигание сырого газа (</w:t>
      </w:r>
      <w:proofErr w:type="spellStart"/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Vv</w:t>
      </w:r>
      <w:proofErr w:type="spellEnd"/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) - при эксплуатации оборудования (V7), при пуско-наладочных работах (V6), при планово- </w:t>
      </w:r>
      <w:proofErr w:type="spellStart"/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профил</w:t>
      </w:r>
      <w:proofErr w:type="spellEnd"/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. работах (V8)).</w:t>
      </w:r>
    </w:p>
    <w:p w14:paraId="7B8B2DAE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Стояк налива нефти - источник №0008;</w:t>
      </w:r>
    </w:p>
    <w:p w14:paraId="25646107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Технологический емкость Е-3 100 м</w:t>
      </w:r>
      <w:r w:rsidRPr="00AF385E">
        <w:rPr>
          <w:rFonts w:ascii="Arial" w:eastAsia="Times New Roman" w:hAnsi="Arial" w:cs="Arial"/>
          <w:bCs/>
          <w:iCs/>
          <w:kern w:val="0"/>
          <w:vertAlign w:val="superscript"/>
          <w:lang w:eastAsia="ru-RU"/>
          <w14:ligatures w14:val="none"/>
        </w:rPr>
        <w:t>3</w:t>
      </w: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- источник №0009;</w:t>
      </w:r>
    </w:p>
    <w:p w14:paraId="16EB03EA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Технологический емкость Е-4 100 м</w:t>
      </w:r>
      <w:r w:rsidRPr="00AF385E">
        <w:rPr>
          <w:rFonts w:ascii="Arial" w:eastAsia="Times New Roman" w:hAnsi="Arial" w:cs="Arial"/>
          <w:bCs/>
          <w:iCs/>
          <w:kern w:val="0"/>
          <w:vertAlign w:val="superscript"/>
          <w:lang w:eastAsia="ru-RU"/>
          <w14:ligatures w14:val="none"/>
        </w:rPr>
        <w:t>3</w:t>
      </w: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- источник №0010;</w:t>
      </w:r>
    </w:p>
    <w:p w14:paraId="5101EE97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Технологический емкость Е-5 100 м</w:t>
      </w:r>
      <w:r w:rsidRPr="00AF385E">
        <w:rPr>
          <w:rFonts w:ascii="Arial" w:eastAsia="Times New Roman" w:hAnsi="Arial" w:cs="Arial"/>
          <w:bCs/>
          <w:iCs/>
          <w:kern w:val="0"/>
          <w:vertAlign w:val="superscript"/>
          <w:lang w:eastAsia="ru-RU"/>
          <w14:ligatures w14:val="none"/>
        </w:rPr>
        <w:t>3</w:t>
      </w: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- источник №0011;</w:t>
      </w:r>
    </w:p>
    <w:p w14:paraId="522AF4BD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Дренажная емкость ЕД-2 V- 63 м3 - источник №0012;</w:t>
      </w:r>
    </w:p>
    <w:p w14:paraId="54FBE75A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Дренажная емкость ЕД-3 V- 16 м3 - источник №0013;</w:t>
      </w:r>
    </w:p>
    <w:p w14:paraId="5EE748BA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Печь подогрева нефти УН 0,</w:t>
      </w:r>
      <w:proofErr w:type="gramStart"/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2  -</w:t>
      </w:r>
      <w:proofErr w:type="gramEnd"/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источник №0014;</w:t>
      </w:r>
    </w:p>
    <w:p w14:paraId="69DDEA06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Продувочная свеча печи - источник №0015;</w:t>
      </w:r>
    </w:p>
    <w:p w14:paraId="0167DBF3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Печь подогрева нефти УН 0,</w:t>
      </w:r>
      <w:proofErr w:type="gramStart"/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2  -</w:t>
      </w:r>
      <w:proofErr w:type="gramEnd"/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источник №0016;</w:t>
      </w:r>
    </w:p>
    <w:p w14:paraId="086D9EBF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Котел общежитие - источник №0017;</w:t>
      </w:r>
    </w:p>
    <w:p w14:paraId="706FB1F8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Котел столовая - источник №0018; </w:t>
      </w:r>
    </w:p>
    <w:p w14:paraId="080B5F5C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Дренажная </w:t>
      </w:r>
      <w:proofErr w:type="gramStart"/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емкость  -</w:t>
      </w:r>
      <w:proofErr w:type="gramEnd"/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источник №0019.</w:t>
      </w:r>
    </w:p>
    <w:p w14:paraId="375609A4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Котел офис - источник №0020;</w:t>
      </w:r>
    </w:p>
    <w:p w14:paraId="7ABC9B69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Печь подогрева нефти УН 0,2 - №0021;</w:t>
      </w:r>
    </w:p>
    <w:p w14:paraId="30A30C3F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Печь подогрева нефти УН 0,2 - №0022;</w:t>
      </w:r>
    </w:p>
    <w:p w14:paraId="7A19A586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Печь подогрева нефти УН 0,2 - №0023;</w:t>
      </w:r>
    </w:p>
    <w:p w14:paraId="44F00150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Печь подогрева нефти УН 0,2 - №0024;</w:t>
      </w:r>
    </w:p>
    <w:p w14:paraId="466F28D0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Продувочная свеча печи - №0025-0028;</w:t>
      </w:r>
    </w:p>
    <w:p w14:paraId="317D89BB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ДЭС 400 кВт - №0029 (аварийный);</w:t>
      </w:r>
    </w:p>
    <w:p w14:paraId="3819A06D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lastRenderedPageBreak/>
        <w:t>ДЭС 100 кВт - №0030 (аварийный);</w:t>
      </w:r>
    </w:p>
    <w:p w14:paraId="4A2C591A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Горелка </w:t>
      </w:r>
      <w:proofErr w:type="spellStart"/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ребойлера</w:t>
      </w:r>
      <w:proofErr w:type="spellEnd"/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- №0031.</w:t>
      </w:r>
    </w:p>
    <w:p w14:paraId="22631CAE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  <w:t>Неорганизованные источники</w:t>
      </w:r>
    </w:p>
    <w:p w14:paraId="4F4FF7B5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Насос нефти - источник №6008;</w:t>
      </w:r>
    </w:p>
    <w:p w14:paraId="49DEB2F2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Насос нефти - источник №6009;</w:t>
      </w:r>
    </w:p>
    <w:p w14:paraId="7F83BFBB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Насос нефти - источник №6010;</w:t>
      </w:r>
    </w:p>
    <w:p w14:paraId="7C5F769F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Насос нефти - источник №6011;</w:t>
      </w:r>
    </w:p>
    <w:p w14:paraId="75569E2E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замерной установки №6012 (ЗРА и ФС);</w:t>
      </w:r>
    </w:p>
    <w:p w14:paraId="16FF449F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замерного трапа №6013 (ЗРА и ФС);</w:t>
      </w:r>
    </w:p>
    <w:p w14:paraId="59F84F9E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печи подогрева нефти - источник №6014 (ЗРА и ФС);</w:t>
      </w:r>
    </w:p>
    <w:p w14:paraId="261341A8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горизонтального нефтегазового сепаратора - источник №6015,6044 (ЗРА и ФС);</w:t>
      </w:r>
    </w:p>
    <w:p w14:paraId="4BCA9B07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горизонтальных резервуаров - источник №6016 (ЗРА и ФС);</w:t>
      </w:r>
    </w:p>
    <w:p w14:paraId="36AA42F2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насосов нефти - источник №6017 (ЗРА и ФС);</w:t>
      </w:r>
    </w:p>
    <w:p w14:paraId="3CD70ADE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дренажной емкости - источник №6018 (ЗРА и ФС);</w:t>
      </w:r>
    </w:p>
    <w:p w14:paraId="20C8AF08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стояка налива нефти - источник №6019 (ЗРА и ФС);</w:t>
      </w:r>
    </w:p>
    <w:p w14:paraId="4DEF8B37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вертикального газового сепаратора - источник №6020,6045 (ЗРА и ФС);</w:t>
      </w:r>
    </w:p>
    <w:p w14:paraId="79BC977E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факела - источник №6021 (ЗРА и ФС).</w:t>
      </w:r>
    </w:p>
    <w:p w14:paraId="530CA6CC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Насос нефти - источник №6022;</w:t>
      </w:r>
    </w:p>
    <w:p w14:paraId="2767BAD9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Насос нефти - источник №6023;</w:t>
      </w:r>
    </w:p>
    <w:p w14:paraId="5177EF66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Насос нефти - источник №6024;</w:t>
      </w:r>
    </w:p>
    <w:p w14:paraId="0127EA5C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узла учета нефти №6025 (ЗРА и ФС);</w:t>
      </w:r>
    </w:p>
    <w:p w14:paraId="735677C7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Площадка </w:t>
      </w:r>
      <w:proofErr w:type="spellStart"/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прубера</w:t>
      </w:r>
      <w:proofErr w:type="spellEnd"/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 подогрева нефти №6026 (ЗРА и ФС);</w:t>
      </w:r>
    </w:p>
    <w:p w14:paraId="573DFB83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печи подогрева нефти №6027 (ЗРА и ФС);</w:t>
      </w:r>
    </w:p>
    <w:p w14:paraId="7FE6BD75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дренажной емкости №6028 (ЗРА и ФС);</w:t>
      </w:r>
    </w:p>
    <w:p w14:paraId="51FF2EC9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горизонтальных резервуаров №6029 (ЗРА и ФС);</w:t>
      </w:r>
    </w:p>
    <w:p w14:paraId="45B2A378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насосов нефти №6030 (ЗРА и ФС);</w:t>
      </w:r>
    </w:p>
    <w:p w14:paraId="71361340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дренажной емкости №6031 (ЗРА и ФС);</w:t>
      </w:r>
    </w:p>
    <w:p w14:paraId="428D643A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стояка налива нефти №6032 (ЗРА и ФС);</w:t>
      </w:r>
    </w:p>
    <w:p w14:paraId="454AE727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Площадка очистки газа от серосодержащих компонентов №6033 (ЗРА и ФС);</w:t>
      </w:r>
    </w:p>
    <w:p w14:paraId="65929417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Площадка системы осушки газа и регенерации гликоля №6034 (ЗРА и ФС). </w:t>
      </w:r>
    </w:p>
    <w:p w14:paraId="434816CA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Регулятор давления 21С10 НЖ (2 ед.) – 6035;</w:t>
      </w:r>
    </w:p>
    <w:p w14:paraId="3F9F1475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Узлы газа ДУ-150 Ру40, Ру1,6 – 6036.</w:t>
      </w:r>
    </w:p>
    <w:p w14:paraId="54E09482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  <w:t xml:space="preserve">Площадка УСН в консервации </w:t>
      </w:r>
    </w:p>
    <w:p w14:paraId="46AE2E6C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РГС 50 м3- номер источника 0201</w:t>
      </w:r>
    </w:p>
    <w:p w14:paraId="2337ADFE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РГС 50 м3- номер источника 0202</w:t>
      </w:r>
    </w:p>
    <w:p w14:paraId="2A1AAB10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РГС 100 м3- номер источника 0203</w:t>
      </w:r>
    </w:p>
    <w:p w14:paraId="5C214AB8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  <w:t>При капитальном ремонте скважин:</w:t>
      </w:r>
    </w:p>
    <w:p w14:paraId="043C60BF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  <w:t>Организованные источники</w:t>
      </w:r>
    </w:p>
    <w:p w14:paraId="1B582215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Подъемный агрегат – номер источника 0032;</w:t>
      </w:r>
    </w:p>
    <w:p w14:paraId="1F2036EE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Подъемный агрегат – номер источника 0033;</w:t>
      </w:r>
    </w:p>
    <w:p w14:paraId="31E7FDE3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Цементировочный агрегат ЦА-320 – номер источника 0034;</w:t>
      </w:r>
    </w:p>
    <w:p w14:paraId="2C03B480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/>
          <w:iCs/>
          <w:kern w:val="0"/>
          <w:lang w:eastAsia="ru-RU"/>
          <w14:ligatures w14:val="none"/>
        </w:rPr>
        <w:t>Неорганизованные источники</w:t>
      </w:r>
    </w:p>
    <w:p w14:paraId="25304D78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Работа автокрана – номер источника 6037;</w:t>
      </w:r>
    </w:p>
    <w:p w14:paraId="4918CC8F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Планировочные работы бульдозером – номер источника 603</w:t>
      </w:r>
      <w:r w:rsidRPr="00AF385E">
        <w:rPr>
          <w:rFonts w:ascii="Arial" w:eastAsia="Times New Roman" w:hAnsi="Arial" w:cs="Arial"/>
          <w:bCs/>
          <w:iCs/>
          <w:kern w:val="0"/>
          <w:lang w:val="kk-KZ" w:eastAsia="ru-RU"/>
          <w14:ligatures w14:val="none"/>
        </w:rPr>
        <w:t>8</w:t>
      </w: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;</w:t>
      </w:r>
    </w:p>
    <w:p w14:paraId="576C6D3A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Емкость для приготовления бурового раствора – номер источника 60</w:t>
      </w:r>
      <w:r w:rsidRPr="00AF385E">
        <w:rPr>
          <w:rFonts w:ascii="Arial" w:eastAsia="Times New Roman" w:hAnsi="Arial" w:cs="Arial"/>
          <w:bCs/>
          <w:iCs/>
          <w:kern w:val="0"/>
          <w:lang w:val="kk-KZ" w:eastAsia="ru-RU"/>
          <w14:ligatures w14:val="none"/>
        </w:rPr>
        <w:t>39</w:t>
      </w: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;</w:t>
      </w:r>
    </w:p>
    <w:p w14:paraId="75A73DC2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Емкость для хранения дизтоплива №1, №2 – номер источника 604</w:t>
      </w:r>
      <w:r w:rsidRPr="00AF385E">
        <w:rPr>
          <w:rFonts w:ascii="Arial" w:eastAsia="Times New Roman" w:hAnsi="Arial" w:cs="Arial"/>
          <w:bCs/>
          <w:iCs/>
          <w:kern w:val="0"/>
          <w:lang w:val="kk-KZ" w:eastAsia="ru-RU"/>
          <w14:ligatures w14:val="none"/>
        </w:rPr>
        <w:t>0</w:t>
      </w: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;</w:t>
      </w:r>
    </w:p>
    <w:p w14:paraId="2BF926B3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Емкость для сбора и хранения пластовой жидкости – номер источника 604</w:t>
      </w:r>
      <w:r w:rsidRPr="00AF385E">
        <w:rPr>
          <w:rFonts w:ascii="Arial" w:eastAsia="Times New Roman" w:hAnsi="Arial" w:cs="Arial"/>
          <w:bCs/>
          <w:iCs/>
          <w:kern w:val="0"/>
          <w:lang w:val="kk-KZ" w:eastAsia="ru-RU"/>
          <w14:ligatures w14:val="none"/>
        </w:rPr>
        <w:t>1</w:t>
      </w: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;</w:t>
      </w:r>
    </w:p>
    <w:p w14:paraId="104E782C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Приготовление цементного раствора – номер источника 604</w:t>
      </w:r>
      <w:r w:rsidRPr="00AF385E">
        <w:rPr>
          <w:rFonts w:ascii="Arial" w:eastAsia="Times New Roman" w:hAnsi="Arial" w:cs="Arial"/>
          <w:bCs/>
          <w:iCs/>
          <w:kern w:val="0"/>
          <w:lang w:val="kk-KZ" w:eastAsia="ru-RU"/>
          <w14:ligatures w14:val="none"/>
        </w:rPr>
        <w:t>2</w:t>
      </w: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.</w:t>
      </w:r>
    </w:p>
    <w:p w14:paraId="2D64ECFA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 xml:space="preserve">Работа бульдозера (тех. рекультивационные работы) – номер источника </w:t>
      </w:r>
      <w:r w:rsidRPr="00AF385E">
        <w:rPr>
          <w:rFonts w:ascii="Arial" w:eastAsia="Times New Roman" w:hAnsi="Arial" w:cs="Arial"/>
          <w:bCs/>
          <w:iCs/>
          <w:kern w:val="0"/>
          <w:lang w:val="kk-KZ" w:eastAsia="ru-RU"/>
          <w14:ligatures w14:val="none"/>
        </w:rPr>
        <w:t>6</w:t>
      </w: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04</w:t>
      </w:r>
      <w:r w:rsidRPr="00AF385E">
        <w:rPr>
          <w:rFonts w:ascii="Arial" w:eastAsia="Times New Roman" w:hAnsi="Arial" w:cs="Arial"/>
          <w:bCs/>
          <w:iCs/>
          <w:kern w:val="0"/>
          <w:lang w:val="kk-KZ" w:eastAsia="ru-RU"/>
          <w14:ligatures w14:val="none"/>
        </w:rPr>
        <w:t>3</w:t>
      </w:r>
      <w:r w:rsidRPr="00AF385E">
        <w:rPr>
          <w:rFonts w:ascii="Arial" w:eastAsia="Times New Roman" w:hAnsi="Arial" w:cs="Arial"/>
          <w:bCs/>
          <w:iCs/>
          <w:kern w:val="0"/>
          <w:lang w:eastAsia="ru-RU"/>
          <w14:ligatures w14:val="none"/>
        </w:rPr>
        <w:t>.</w:t>
      </w:r>
    </w:p>
    <w:p w14:paraId="13E4071E" w14:textId="77777777" w:rsidR="00AF385E" w:rsidRPr="00AF385E" w:rsidRDefault="00AF385E" w:rsidP="00AF385E">
      <w:pPr>
        <w:spacing w:after="0" w:line="240" w:lineRule="auto"/>
        <w:ind w:left="709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F385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Сварочныеработы</w:t>
      </w:r>
      <w:proofErr w:type="spellEnd"/>
      <w:r w:rsidRPr="00AF385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номер источника 6047</w:t>
      </w:r>
    </w:p>
    <w:p w14:paraId="4B6A2CFA" w14:textId="2DF1CAA3" w:rsidR="00AE1E85" w:rsidRPr="00AE1E85" w:rsidRDefault="00AF385E" w:rsidP="00AF385E">
      <w:pPr>
        <w:spacing w:before="120" w:after="120" w:line="240" w:lineRule="auto"/>
        <w:ind w:left="720"/>
        <w:rPr>
          <w:rFonts w:ascii="Arial" w:eastAsia="Times New Roman" w:hAnsi="Arial" w:cs="Arial"/>
          <w:kern w:val="0"/>
          <w:highlight w:val="yellow"/>
          <w:lang w:eastAsia="ru-RU"/>
          <w14:ligatures w14:val="none"/>
        </w:rPr>
      </w:pPr>
      <w:r w:rsidRPr="00AF385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Резка металла номер источника 6048</w:t>
      </w:r>
    </w:p>
    <w:p w14:paraId="434C4577" w14:textId="77777777" w:rsidR="00AE1E85" w:rsidRPr="00AE1E85" w:rsidRDefault="00AE1E85" w:rsidP="00AE1E85">
      <w:pPr>
        <w:spacing w:before="120" w:after="120" w:line="240" w:lineRule="auto"/>
        <w:ind w:left="720"/>
        <w:jc w:val="right"/>
        <w:rPr>
          <w:rFonts w:ascii="Arial" w:eastAsia="Times New Roman" w:hAnsi="Arial" w:cs="Arial"/>
          <w:kern w:val="0"/>
          <w:highlight w:val="yellow"/>
          <w:lang w:eastAsia="ru-RU"/>
          <w14:ligatures w14:val="none"/>
        </w:rPr>
      </w:pPr>
    </w:p>
    <w:p w14:paraId="6011CD7B" w14:textId="77777777" w:rsidR="00AE1E85" w:rsidRPr="00AE1E85" w:rsidRDefault="00AE1E85" w:rsidP="00AE1E85">
      <w:pPr>
        <w:spacing w:before="120" w:after="120" w:line="240" w:lineRule="auto"/>
        <w:ind w:left="720"/>
        <w:jc w:val="right"/>
        <w:rPr>
          <w:rFonts w:ascii="Arial" w:eastAsia="Times New Roman" w:hAnsi="Arial" w:cs="Arial"/>
          <w:kern w:val="0"/>
          <w:highlight w:val="yellow"/>
          <w:lang w:eastAsia="ru-RU"/>
          <w14:ligatures w14:val="none"/>
        </w:rPr>
      </w:pPr>
    </w:p>
    <w:p w14:paraId="2604CD10" w14:textId="77777777" w:rsidR="00AE1E85" w:rsidRPr="00AE1E85" w:rsidRDefault="00AE1E85" w:rsidP="00AE1E85">
      <w:pPr>
        <w:spacing w:before="120" w:after="120" w:line="240" w:lineRule="auto"/>
        <w:ind w:left="720"/>
        <w:jc w:val="right"/>
        <w:rPr>
          <w:rFonts w:ascii="Arial" w:eastAsia="Times New Roman" w:hAnsi="Arial" w:cs="Arial"/>
          <w:kern w:val="0"/>
          <w:highlight w:val="yellow"/>
          <w:lang w:val="kk-KZ" w:eastAsia="ru-RU"/>
          <w14:ligatures w14:val="none"/>
        </w:rPr>
      </w:pPr>
    </w:p>
    <w:p w14:paraId="213BAF70" w14:textId="77777777" w:rsidR="00AE1E85" w:rsidRPr="00AE1E85" w:rsidRDefault="00AE1E85" w:rsidP="00AE1E85">
      <w:pPr>
        <w:spacing w:before="120" w:after="120" w:line="240" w:lineRule="auto"/>
        <w:ind w:left="720"/>
        <w:jc w:val="right"/>
        <w:rPr>
          <w:rFonts w:ascii="Arial" w:eastAsia="Times New Roman" w:hAnsi="Arial" w:cs="Arial"/>
          <w:kern w:val="0"/>
          <w:highlight w:val="yellow"/>
          <w:lang w:val="kk-KZ" w:eastAsia="ru-RU"/>
          <w14:ligatures w14:val="none"/>
        </w:rPr>
      </w:pPr>
    </w:p>
    <w:p w14:paraId="09C62040" w14:textId="77777777" w:rsidR="00AE1E85" w:rsidRPr="00AE1E85" w:rsidRDefault="00AE1E85" w:rsidP="00AE1E85">
      <w:pPr>
        <w:spacing w:before="120" w:after="120" w:line="240" w:lineRule="auto"/>
        <w:ind w:left="720"/>
        <w:jc w:val="right"/>
        <w:rPr>
          <w:rFonts w:ascii="Arial" w:eastAsia="Times New Roman" w:hAnsi="Arial" w:cs="Arial"/>
          <w:kern w:val="0"/>
          <w:highlight w:val="yellow"/>
          <w:lang w:val="kk-KZ" w:eastAsia="ru-RU"/>
          <w14:ligatures w14:val="none"/>
        </w:rPr>
      </w:pPr>
    </w:p>
    <w:p w14:paraId="10CFF272" w14:textId="77777777" w:rsidR="00AE1E85" w:rsidRPr="00AE1E85" w:rsidRDefault="00AE1E85" w:rsidP="00AE1E85">
      <w:pPr>
        <w:spacing w:before="120" w:after="120" w:line="240" w:lineRule="auto"/>
        <w:ind w:left="720"/>
        <w:jc w:val="right"/>
        <w:rPr>
          <w:rFonts w:ascii="Arial" w:eastAsia="Times New Roman" w:hAnsi="Arial" w:cs="Arial"/>
          <w:kern w:val="0"/>
          <w:highlight w:val="yellow"/>
          <w:lang w:eastAsia="ru-RU"/>
          <w14:ligatures w14:val="none"/>
        </w:rPr>
      </w:pPr>
    </w:p>
    <w:p w14:paraId="0D98A8BC" w14:textId="77777777" w:rsidR="00AE1E85" w:rsidRPr="00AE1E85" w:rsidRDefault="00AE1E85" w:rsidP="00AE1E85">
      <w:pPr>
        <w:keepNext/>
        <w:spacing w:after="0" w:line="240" w:lineRule="auto"/>
        <w:ind w:firstLine="709"/>
        <w:jc w:val="both"/>
        <w:outlineLvl w:val="1"/>
        <w:rPr>
          <w:rFonts w:ascii="Arial" w:eastAsia="Times New Roman" w:hAnsi="Arial" w:cs="Times New Roman"/>
          <w:b/>
          <w:bCs/>
          <w:i/>
          <w:iCs/>
          <w:kern w:val="0"/>
          <w:lang w:val="x-none" w:eastAsia="x-none"/>
          <w14:ligatures w14:val="none"/>
        </w:rPr>
      </w:pPr>
      <w:bookmarkStart w:id="6" w:name="_Toc71153679"/>
      <w:bookmarkEnd w:id="5"/>
      <w:r w:rsidRPr="00AE1E85">
        <w:rPr>
          <w:rFonts w:ascii="Arial" w:eastAsia="Times New Roman" w:hAnsi="Arial" w:cs="Times New Roman"/>
          <w:b/>
          <w:bCs/>
          <w:i/>
          <w:iCs/>
          <w:kern w:val="0"/>
          <w:lang w:val="x-none" w:eastAsia="x-none"/>
          <w14:ligatures w14:val="none"/>
        </w:rPr>
        <w:t>3.3. Качественная и количественная характеристика источников загрязнения атмосферного воздуха</w:t>
      </w:r>
      <w:bookmarkEnd w:id="3"/>
      <w:bookmarkEnd w:id="6"/>
    </w:p>
    <w:p w14:paraId="348DF197" w14:textId="77777777" w:rsidR="00AE1E85" w:rsidRPr="00AE1E85" w:rsidRDefault="00AE1E85" w:rsidP="00AE1E85">
      <w:pPr>
        <w:spacing w:before="120"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kern w:val="0"/>
          <w:lang w:eastAsia="ru-RU"/>
          <w14:ligatures w14:val="none"/>
        </w:rPr>
        <w:t>Качественные и количественные характеристики выбросов ВВ определены расчетным методом по утвержденным методикам.</w:t>
      </w:r>
    </w:p>
    <w:p w14:paraId="4479F7A9" w14:textId="77777777" w:rsidR="00AE1E85" w:rsidRPr="00AE1E85" w:rsidRDefault="00AE1E85" w:rsidP="00AE1E85">
      <w:pPr>
        <w:spacing w:before="120"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AE1E85">
        <w:rPr>
          <w:rFonts w:ascii="Arial" w:eastAsia="Times New Roman" w:hAnsi="Arial" w:cs="Arial"/>
          <w:kern w:val="0"/>
          <w:lang w:eastAsia="ru-RU"/>
          <w14:ligatures w14:val="none"/>
        </w:rPr>
        <w:t>Валовые выбросы загрязняющих веществ в атмосферу при планируемой производственной деятельности ТОО «</w:t>
      </w:r>
      <w:bookmarkStart w:id="7" w:name="_Hlk210233481"/>
      <w:proofErr w:type="spellStart"/>
      <w:r w:rsidRPr="00AE1E85">
        <w:rPr>
          <w:rFonts w:ascii="Arial" w:eastAsia="Times New Roman" w:hAnsi="Arial" w:cs="Arial"/>
          <w:kern w:val="0"/>
          <w:lang w:eastAsia="ru-RU"/>
          <w14:ligatures w14:val="none"/>
        </w:rPr>
        <w:t>Shergala</w:t>
      </w:r>
      <w:proofErr w:type="spellEnd"/>
      <w:r w:rsidRPr="00AE1E85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proofErr w:type="spellStart"/>
      <w:r w:rsidRPr="00AE1E85">
        <w:rPr>
          <w:rFonts w:ascii="Arial" w:eastAsia="Times New Roman" w:hAnsi="Arial" w:cs="Arial"/>
          <w:kern w:val="0"/>
          <w:lang w:eastAsia="ru-RU"/>
          <w14:ligatures w14:val="none"/>
        </w:rPr>
        <w:t>Petrolium</w:t>
      </w:r>
      <w:bookmarkEnd w:id="7"/>
      <w:proofErr w:type="spellEnd"/>
      <w:r w:rsidRPr="00AE1E85">
        <w:rPr>
          <w:rFonts w:ascii="Arial" w:eastAsia="Times New Roman" w:hAnsi="Arial" w:cs="Arial"/>
          <w:kern w:val="0"/>
          <w:lang w:eastAsia="ru-RU"/>
          <w14:ligatures w14:val="none"/>
        </w:rPr>
        <w:t>» при эксплуатации от стационарных источников:</w:t>
      </w:r>
    </w:p>
    <w:p w14:paraId="61B25473" w14:textId="77777777" w:rsidR="00AF385E" w:rsidRPr="00AF385E" w:rsidRDefault="00AF385E" w:rsidP="00AF385E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AF385E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на 2027 г.</w:t>
      </w:r>
      <w:r w:rsidRPr="00AF385E">
        <w:rPr>
          <w:rFonts w:ascii="Arial" w:eastAsia="Times New Roman" w:hAnsi="Arial" w:cs="Arial"/>
          <w:kern w:val="0"/>
          <w:lang w:eastAsia="ru-RU"/>
          <w14:ligatures w14:val="none"/>
        </w:rPr>
        <w:t xml:space="preserve"> – </w:t>
      </w:r>
      <w:proofErr w:type="gramStart"/>
      <w:r w:rsidRPr="00AF385E">
        <w:rPr>
          <w:rFonts w:ascii="Arial" w:eastAsia="Times New Roman" w:hAnsi="Arial" w:cs="Arial"/>
          <w:kern w:val="0"/>
          <w:lang w:eastAsia="ru-RU"/>
          <w14:ligatures w14:val="none"/>
        </w:rPr>
        <w:t>согласно проекта</w:t>
      </w:r>
      <w:proofErr w:type="gramEnd"/>
      <w:r w:rsidRPr="00AF385E">
        <w:rPr>
          <w:rFonts w:ascii="Arial" w:eastAsia="Times New Roman" w:hAnsi="Arial" w:cs="Arial"/>
          <w:kern w:val="0"/>
          <w:lang w:eastAsia="ru-RU"/>
          <w14:ligatures w14:val="none"/>
        </w:rPr>
        <w:t xml:space="preserve"> НДВ всего составит - 56,617826524 т/год, в том числе твердые – 0,587401561 т/год, газообразные – 56,030424963 т/год</w:t>
      </w:r>
    </w:p>
    <w:p w14:paraId="35E58A61" w14:textId="3A447D08" w:rsidR="00AE1E85" w:rsidRPr="00AE1E85" w:rsidRDefault="00AE1E85" w:rsidP="00AF385E">
      <w:pPr>
        <w:spacing w:after="0" w:line="240" w:lineRule="auto"/>
        <w:ind w:firstLine="709"/>
        <w:jc w:val="both"/>
        <w:rPr>
          <w:rFonts w:ascii="Arial" w:hAnsi="Arial" w:cs="Arial"/>
        </w:rPr>
      </w:pPr>
    </w:p>
    <w:sectPr w:rsidR="00AE1E85" w:rsidRPr="00AE1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76FF7" w14:textId="77777777" w:rsidR="00C477EA" w:rsidRDefault="00C477EA">
      <w:pPr>
        <w:spacing w:after="0" w:line="240" w:lineRule="auto"/>
      </w:pPr>
      <w:r>
        <w:separator/>
      </w:r>
    </w:p>
  </w:endnote>
  <w:endnote w:type="continuationSeparator" w:id="0">
    <w:p w14:paraId="562C5144" w14:textId="77777777" w:rsidR="00C477EA" w:rsidRDefault="00C47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D66AF" w14:textId="77777777" w:rsidR="00AE1E85" w:rsidRDefault="00AE1E85">
    <w:pPr>
      <w:pStyle w:val="af1"/>
      <w:framePr w:wrap="around" w:vAnchor="text" w:hAnchor="page" w:x="10882" w:y="235"/>
      <w:rPr>
        <w:rStyle w:val="af3"/>
        <w:i/>
      </w:rPr>
    </w:pPr>
    <w:r>
      <w:rPr>
        <w:rStyle w:val="af3"/>
        <w:i/>
      </w:rPr>
      <w:fldChar w:fldCharType="begin"/>
    </w:r>
    <w:r>
      <w:rPr>
        <w:rStyle w:val="af3"/>
        <w:i/>
      </w:rPr>
      <w:instrText xml:space="preserve"> PAGE  \* Arabic \* Arabic </w:instrText>
    </w:r>
    <w:r>
      <w:rPr>
        <w:rStyle w:val="af3"/>
        <w:i/>
      </w:rPr>
      <w:fldChar w:fldCharType="separate"/>
    </w:r>
    <w:r>
      <w:rPr>
        <w:rStyle w:val="af3"/>
        <w:i/>
        <w:noProof/>
      </w:rPr>
      <w:t>43</w:t>
    </w:r>
    <w:r>
      <w:rPr>
        <w:rStyle w:val="af3"/>
        <w:i/>
      </w:rPr>
      <w:fldChar w:fldCharType="end"/>
    </w:r>
  </w:p>
  <w:p w14:paraId="15D92C0E" w14:textId="77777777" w:rsidR="00AE1E85" w:rsidRDefault="00AE1E85">
    <w:pPr>
      <w:pStyle w:val="af1"/>
      <w:pBdr>
        <w:top w:val="double" w:sz="6" w:space="1" w:color="auto"/>
      </w:pBdr>
      <w:tabs>
        <w:tab w:val="clear" w:pos="4677"/>
        <w:tab w:val="center" w:pos="0"/>
      </w:tabs>
      <w:ind w:right="-6"/>
      <w:rPr>
        <w:b/>
      </w:rPr>
    </w:pPr>
    <w:r>
      <w:t xml:space="preserve">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33FC4" w14:textId="77777777" w:rsidR="00C477EA" w:rsidRDefault="00C477EA">
      <w:pPr>
        <w:spacing w:after="0" w:line="240" w:lineRule="auto"/>
      </w:pPr>
      <w:r>
        <w:separator/>
      </w:r>
    </w:p>
  </w:footnote>
  <w:footnote w:type="continuationSeparator" w:id="0">
    <w:p w14:paraId="6A644230" w14:textId="77777777" w:rsidR="00C477EA" w:rsidRDefault="00C47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E309E"/>
    <w:multiLevelType w:val="hybridMultilevel"/>
    <w:tmpl w:val="99189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250E2F"/>
    <w:multiLevelType w:val="hybridMultilevel"/>
    <w:tmpl w:val="8DAEE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024A7"/>
    <w:multiLevelType w:val="hybridMultilevel"/>
    <w:tmpl w:val="F3E083D0"/>
    <w:lvl w:ilvl="0" w:tplc="22A69F5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56E60C2F"/>
    <w:multiLevelType w:val="hybridMultilevel"/>
    <w:tmpl w:val="4BD6D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A6F8B"/>
    <w:multiLevelType w:val="hybridMultilevel"/>
    <w:tmpl w:val="322040AA"/>
    <w:lvl w:ilvl="0" w:tplc="FFFFFFFF">
      <w:start w:val="1"/>
      <w:numFmt w:val="bullet"/>
      <w:pStyle w:val="2"/>
      <w:lvlText w:val=""/>
      <w:lvlJc w:val="left"/>
      <w:pPr>
        <w:ind w:left="1077" w:hanging="360"/>
      </w:pPr>
      <w:rPr>
        <w:rFonts w:ascii="Symbol" w:hAnsi="Symbol" w:hint="default"/>
        <w:sz w:val="22"/>
        <w:szCs w:val="20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62650093"/>
    <w:multiLevelType w:val="multilevel"/>
    <w:tmpl w:val="52B8D8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56F25C2"/>
    <w:multiLevelType w:val="hybridMultilevel"/>
    <w:tmpl w:val="333E4EF2"/>
    <w:styleLink w:val="1ai"/>
    <w:lvl w:ilvl="0" w:tplc="B15CBA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789" w:hanging="360"/>
      </w:pPr>
    </w:lvl>
    <w:lvl w:ilvl="2" w:tplc="04190005" w:tentative="1">
      <w:start w:val="1"/>
      <w:numFmt w:val="lowerRoman"/>
      <w:lvlText w:val="%3."/>
      <w:lvlJc w:val="right"/>
      <w:pPr>
        <w:ind w:left="2509" w:hanging="180"/>
      </w:pPr>
    </w:lvl>
    <w:lvl w:ilvl="3" w:tplc="04190001" w:tentative="1">
      <w:start w:val="1"/>
      <w:numFmt w:val="decimal"/>
      <w:lvlText w:val="%4."/>
      <w:lvlJc w:val="left"/>
      <w:pPr>
        <w:ind w:left="3229" w:hanging="360"/>
      </w:pPr>
    </w:lvl>
    <w:lvl w:ilvl="4" w:tplc="04190003" w:tentative="1">
      <w:start w:val="1"/>
      <w:numFmt w:val="lowerLetter"/>
      <w:lvlText w:val="%5."/>
      <w:lvlJc w:val="left"/>
      <w:pPr>
        <w:ind w:left="3949" w:hanging="360"/>
      </w:pPr>
    </w:lvl>
    <w:lvl w:ilvl="5" w:tplc="04190005" w:tentative="1">
      <w:start w:val="1"/>
      <w:numFmt w:val="lowerRoman"/>
      <w:lvlText w:val="%6."/>
      <w:lvlJc w:val="right"/>
      <w:pPr>
        <w:ind w:left="4669" w:hanging="180"/>
      </w:pPr>
    </w:lvl>
    <w:lvl w:ilvl="6" w:tplc="04190001" w:tentative="1">
      <w:start w:val="1"/>
      <w:numFmt w:val="decimal"/>
      <w:lvlText w:val="%7."/>
      <w:lvlJc w:val="left"/>
      <w:pPr>
        <w:ind w:left="5389" w:hanging="360"/>
      </w:pPr>
    </w:lvl>
    <w:lvl w:ilvl="7" w:tplc="04190003" w:tentative="1">
      <w:start w:val="1"/>
      <w:numFmt w:val="lowerLetter"/>
      <w:lvlText w:val="%8."/>
      <w:lvlJc w:val="left"/>
      <w:pPr>
        <w:ind w:left="6109" w:hanging="360"/>
      </w:pPr>
    </w:lvl>
    <w:lvl w:ilvl="8" w:tplc="04190005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662193F"/>
    <w:multiLevelType w:val="singleLevel"/>
    <w:tmpl w:val="AA6EB8F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74413826"/>
    <w:multiLevelType w:val="hybridMultilevel"/>
    <w:tmpl w:val="6F7456F0"/>
    <w:lvl w:ilvl="0" w:tplc="9204317C">
      <w:start w:val="1"/>
      <w:numFmt w:val="bullet"/>
      <w:pStyle w:val="20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03012A4">
      <w:numFmt w:val="bullet"/>
      <w:lvlText w:val="•"/>
      <w:lvlJc w:val="left"/>
      <w:pPr>
        <w:ind w:left="2475" w:hanging="675"/>
      </w:pPr>
      <w:rPr>
        <w:rFonts w:ascii="Times New Roman" w:eastAsia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68766023">
    <w:abstractNumId w:val="2"/>
  </w:num>
  <w:num w:numId="2" w16cid:durableId="1221290494">
    <w:abstractNumId w:val="6"/>
  </w:num>
  <w:num w:numId="3" w16cid:durableId="1116950325">
    <w:abstractNumId w:val="7"/>
  </w:num>
  <w:num w:numId="4" w16cid:durableId="739981930">
    <w:abstractNumId w:val="5"/>
  </w:num>
  <w:num w:numId="5" w16cid:durableId="1788350862">
    <w:abstractNumId w:val="3"/>
  </w:num>
  <w:num w:numId="6" w16cid:durableId="859851131">
    <w:abstractNumId w:val="4"/>
  </w:num>
  <w:num w:numId="7" w16cid:durableId="881475326">
    <w:abstractNumId w:val="0"/>
  </w:num>
  <w:num w:numId="8" w16cid:durableId="1714816396">
    <w:abstractNumId w:val="1"/>
  </w:num>
  <w:num w:numId="9" w16cid:durableId="10976727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449"/>
    <w:rsid w:val="00012B95"/>
    <w:rsid w:val="000A70D1"/>
    <w:rsid w:val="000E29BA"/>
    <w:rsid w:val="000F0589"/>
    <w:rsid w:val="001041CC"/>
    <w:rsid w:val="00132380"/>
    <w:rsid w:val="00265731"/>
    <w:rsid w:val="002803CF"/>
    <w:rsid w:val="002B6449"/>
    <w:rsid w:val="003629E9"/>
    <w:rsid w:val="0046112B"/>
    <w:rsid w:val="006D5F8A"/>
    <w:rsid w:val="00700089"/>
    <w:rsid w:val="007E497C"/>
    <w:rsid w:val="00830007"/>
    <w:rsid w:val="008B1502"/>
    <w:rsid w:val="00913956"/>
    <w:rsid w:val="009208C8"/>
    <w:rsid w:val="00955866"/>
    <w:rsid w:val="00AE1E85"/>
    <w:rsid w:val="00AF385E"/>
    <w:rsid w:val="00B45676"/>
    <w:rsid w:val="00B828DC"/>
    <w:rsid w:val="00B84279"/>
    <w:rsid w:val="00BD39E4"/>
    <w:rsid w:val="00C452C6"/>
    <w:rsid w:val="00C477EA"/>
    <w:rsid w:val="00E267B0"/>
    <w:rsid w:val="00F457A1"/>
    <w:rsid w:val="00F549F4"/>
    <w:rsid w:val="00FE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3A553"/>
  <w15:chartTrackingRefBased/>
  <w15:docId w15:val="{3415FF74-FDAA-4A57-A749-2F0207C24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aliases w:val="Hoofdstuk,Part,OG Heading 1,h1,Заголовок 1 Знак1 Знак,Заголовок 1 Знак Знак Знак,Заголовок 1 Знак Знак Знак Знак Знак Знак,Заголовок 1 Знак Знак Знак Знак Знак,Заголовок 1 Знак1,Заголовок 1 Знак Знак,РАЗДЕЛ,ГЛАВА,H1,новая страница,Мой стиль "/>
    <w:basedOn w:val="a"/>
    <w:next w:val="a"/>
    <w:link w:val="10"/>
    <w:qFormat/>
    <w:rsid w:val="00265731"/>
    <w:pPr>
      <w:keepNext/>
      <w:spacing w:before="240" w:after="60" w:line="240" w:lineRule="auto"/>
      <w:outlineLvl w:val="0"/>
    </w:pPr>
    <w:rPr>
      <w:rFonts w:ascii="Times New Roman" w:eastAsia="Times/Kazakh" w:hAnsi="Times New Roman" w:cs="Times/Kazakh"/>
      <w:b/>
      <w:kern w:val="28"/>
      <w:sz w:val="28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B828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styleId="a3">
    <w:name w:val="List Paragraph"/>
    <w:aliases w:val="_список,strich,2nd Tier Header,маркированный,Citation List,текст ГЕО,список,Nawa Bullets,CAFC Bullets,Beran Bullets,Bullet Points,Заголовок2,Заголовок первого уровня"/>
    <w:basedOn w:val="a"/>
    <w:link w:val="a4"/>
    <w:uiPriority w:val="34"/>
    <w:qFormat/>
    <w:rsid w:val="000F0589"/>
    <w:pPr>
      <w:ind w:left="720"/>
      <w:contextualSpacing/>
    </w:pPr>
  </w:style>
  <w:style w:type="table" w:styleId="a5">
    <w:name w:val="Table Grid"/>
    <w:aliases w:val="ПНОО,Таблица для проекта"/>
    <w:basedOn w:val="a1"/>
    <w:rsid w:val="00F457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link w:val="a7"/>
    <w:uiPriority w:val="11"/>
    <w:qFormat/>
    <w:rsid w:val="00F457A1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  <w14:ligatures w14:val="none"/>
    </w:rPr>
  </w:style>
  <w:style w:type="character" w:customStyle="1" w:styleId="a7">
    <w:name w:val="Подзаголовок Знак"/>
    <w:basedOn w:val="a0"/>
    <w:link w:val="a6"/>
    <w:uiPriority w:val="11"/>
    <w:rsid w:val="00F457A1"/>
    <w:rPr>
      <w:rFonts w:ascii="Times New Roman" w:eastAsia="Times New Roman" w:hAnsi="Times New Roman" w:cs="Times New Roman"/>
      <w:b/>
      <w:kern w:val="0"/>
      <w:sz w:val="24"/>
      <w:szCs w:val="20"/>
      <w:lang w:val="ru-RU" w:eastAsia="ru-RU"/>
      <w14:ligatures w14:val="none"/>
    </w:rPr>
  </w:style>
  <w:style w:type="numbering" w:styleId="1ai">
    <w:name w:val="Outline List 1"/>
    <w:basedOn w:val="a2"/>
    <w:unhideWhenUsed/>
    <w:rsid w:val="00F457A1"/>
    <w:pPr>
      <w:numPr>
        <w:numId w:val="2"/>
      </w:numPr>
    </w:pPr>
  </w:style>
  <w:style w:type="character" w:customStyle="1" w:styleId="a4">
    <w:name w:val="Абзац списка Знак"/>
    <w:aliases w:val="_список Знак,strich Знак,2nd Tier Header Знак,маркированный Знак,Citation List Знак,текст ГЕО Знак,список Знак,Nawa Bullets Знак,CAFC Bullets Знак,Beran Bullets Знак,Bullet Points Знак,Заголовок2 Знак,Заголовок первого уровня Знак"/>
    <w:link w:val="a3"/>
    <w:uiPriority w:val="34"/>
    <w:rsid w:val="00F457A1"/>
  </w:style>
  <w:style w:type="paragraph" w:styleId="a8">
    <w:name w:val="footnote text"/>
    <w:basedOn w:val="a"/>
    <w:link w:val="a9"/>
    <w:rsid w:val="0046112B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character" w:customStyle="1" w:styleId="a9">
    <w:name w:val="Текст сноски Знак"/>
    <w:basedOn w:val="a0"/>
    <w:link w:val="a8"/>
    <w:rsid w:val="0046112B"/>
    <w:rPr>
      <w:rFonts w:ascii="Arial" w:eastAsia="Times New Roman" w:hAnsi="Arial" w:cs="Times New Roman"/>
      <w:kern w:val="0"/>
      <w:sz w:val="20"/>
      <w:szCs w:val="20"/>
      <w:lang w:val="ru-RU" w:eastAsia="ru-RU"/>
      <w14:ligatures w14:val="none"/>
    </w:rPr>
  </w:style>
  <w:style w:type="paragraph" w:styleId="aa">
    <w:name w:val="caption"/>
    <w:aliases w:val="название таблицы,Название объекта Знак1,Название объекта Знак1 Знак2 Знак,Название объекта Знак2 Знак Знак1 Знак,Название объекта Знак1 Знак1 Знак Знак1 Знак,Название объекта Знак2 Знак Знак Знак Знак Знак,Название объекта Знак1 Знак2"/>
    <w:basedOn w:val="a"/>
    <w:next w:val="a"/>
    <w:link w:val="ab"/>
    <w:qFormat/>
    <w:rsid w:val="0046112B"/>
    <w:pPr>
      <w:spacing w:after="0" w:line="240" w:lineRule="auto"/>
    </w:pPr>
    <w:rPr>
      <w:rFonts w:ascii="Times New Roman" w:eastAsia="SimSun" w:hAnsi="Times New Roman" w:cs="Times New Roman"/>
      <w:b/>
      <w:bCs/>
      <w:kern w:val="0"/>
      <w:sz w:val="20"/>
      <w:szCs w:val="20"/>
      <w:lang w:eastAsia="ru-RU"/>
      <w14:ligatures w14:val="none"/>
    </w:rPr>
  </w:style>
  <w:style w:type="character" w:customStyle="1" w:styleId="ab">
    <w:name w:val="Название объекта Знак"/>
    <w:aliases w:val="название таблицы Знак,Название объекта Знак1 Знак,Название объекта Знак1 Знак2 Знак Знак,Название объекта Знак2 Знак Знак1 Знак Знак,Название объекта Знак1 Знак1 Знак Знак1 Знак Знак,Название объекта Знак1 Знак2 Знак1"/>
    <w:link w:val="aa"/>
    <w:rsid w:val="0046112B"/>
    <w:rPr>
      <w:rFonts w:ascii="Times New Roman" w:eastAsia="SimSun" w:hAnsi="Times New Roman" w:cs="Times New Roman"/>
      <w:b/>
      <w:bCs/>
      <w:kern w:val="0"/>
      <w:sz w:val="20"/>
      <w:szCs w:val="20"/>
      <w:lang w:val="ru-RU" w:eastAsia="ru-RU"/>
      <w14:ligatures w14:val="none"/>
    </w:rPr>
  </w:style>
  <w:style w:type="paragraph" w:customStyle="1" w:styleId="2H6100005">
    <w:name w:val="2H6100005"/>
    <w:basedOn w:val="a"/>
    <w:rsid w:val="00955866"/>
    <w:pPr>
      <w:keepNext/>
      <w:keepLines/>
      <w:suppressAutoHyphens/>
      <w:spacing w:before="360" w:after="240" w:line="240" w:lineRule="atLeast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ltable0">
    <w:name w:val="l_table0"/>
    <w:basedOn w:val="a"/>
    <w:rsid w:val="00955866"/>
    <w:pPr>
      <w:spacing w:after="0" w:line="240" w:lineRule="atLeast"/>
      <w:ind w:left="120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2H6100805">
    <w:name w:val="2H6100805"/>
    <w:basedOn w:val="a"/>
    <w:rsid w:val="00955866"/>
    <w:pPr>
      <w:keepNext/>
      <w:keepLines/>
      <w:suppressAutoHyphens/>
      <w:spacing w:before="360" w:after="240" w:line="240" w:lineRule="atLeast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TimesNewRoman1256">
    <w:name w:val="Стиль Times New Roman По ширине Первая строка:  125 см после: 6..."/>
    <w:basedOn w:val="a"/>
    <w:rsid w:val="00265731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c">
    <w:name w:val="Body Text"/>
    <w:basedOn w:val="a"/>
    <w:link w:val="ad"/>
    <w:rsid w:val="00265731"/>
    <w:pPr>
      <w:spacing w:after="0" w:line="240" w:lineRule="auto"/>
    </w:pPr>
    <w:rPr>
      <w:rFonts w:ascii="Times New Roman" w:eastAsia="Times/Kazakh" w:hAnsi="Times New Roman" w:cs="Times/Kazakh"/>
      <w:kern w:val="0"/>
      <w:szCs w:val="20"/>
      <w14:ligatures w14:val="none"/>
    </w:rPr>
  </w:style>
  <w:style w:type="character" w:customStyle="1" w:styleId="ad">
    <w:name w:val="Основной текст Знак"/>
    <w:basedOn w:val="a0"/>
    <w:link w:val="ac"/>
    <w:rsid w:val="00265731"/>
    <w:rPr>
      <w:rFonts w:ascii="Times New Roman" w:eastAsia="Times/Kazakh" w:hAnsi="Times New Roman" w:cs="Times/Kazakh"/>
      <w:kern w:val="0"/>
      <w:szCs w:val="20"/>
      <w:lang w:val="ru-RU"/>
      <w14:ligatures w14:val="none"/>
    </w:rPr>
  </w:style>
  <w:style w:type="character" w:customStyle="1" w:styleId="10">
    <w:name w:val="Заголовок 1 Знак"/>
    <w:aliases w:val="Hoofdstuk Знак,Part Знак,OG Heading 1 Знак,h1 Знак,Заголовок 1 Знак1 Знак Знак,Заголовок 1 Знак Знак Знак Знак,Заголовок 1 Знак Знак Знак Знак Знак Знак Знак,Заголовок 1 Знак Знак Знак Знак Знак Знак1,Заголовок 1 Знак1 Знак1,РАЗДЕЛ Знак"/>
    <w:basedOn w:val="a0"/>
    <w:link w:val="1"/>
    <w:rsid w:val="00265731"/>
    <w:rPr>
      <w:rFonts w:ascii="Times New Roman" w:eastAsia="Times/Kazakh" w:hAnsi="Times New Roman" w:cs="Times/Kazakh"/>
      <w:b/>
      <w:kern w:val="28"/>
      <w:sz w:val="28"/>
      <w:szCs w:val="20"/>
      <w:lang w:val="ru-RU"/>
      <w14:ligatures w14:val="none"/>
    </w:rPr>
  </w:style>
  <w:style w:type="paragraph" w:customStyle="1" w:styleId="ae">
    <w:name w:val="текст"/>
    <w:basedOn w:val="a"/>
    <w:link w:val="af"/>
    <w:rsid w:val="00830007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текст Знак"/>
    <w:link w:val="ae"/>
    <w:rsid w:val="00830007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customStyle="1" w:styleId="af0">
    <w:name w:val="Мой текст"/>
    <w:basedOn w:val="a"/>
    <w:link w:val="Char"/>
    <w:qFormat/>
    <w:rsid w:val="009208C8"/>
    <w:pPr>
      <w:spacing w:before="120" w:after="120" w:line="240" w:lineRule="auto"/>
      <w:jc w:val="both"/>
    </w:pPr>
    <w:rPr>
      <w:rFonts w:ascii="Arial" w:eastAsia="Times New Roman" w:hAnsi="Arial" w:cs="Times New Roman"/>
      <w:kern w:val="0"/>
      <w:szCs w:val="20"/>
      <w:lang w:eastAsia="ru-RU"/>
      <w14:ligatures w14:val="none"/>
    </w:rPr>
  </w:style>
  <w:style w:type="character" w:customStyle="1" w:styleId="Char">
    <w:name w:val="Мой текст Char"/>
    <w:link w:val="af0"/>
    <w:rsid w:val="009208C8"/>
    <w:rPr>
      <w:rFonts w:ascii="Arial" w:eastAsia="Times New Roman" w:hAnsi="Arial" w:cs="Times New Roman"/>
      <w:kern w:val="0"/>
      <w:szCs w:val="20"/>
      <w:lang w:val="ru-RU" w:eastAsia="ru-RU"/>
      <w14:ligatures w14:val="none"/>
    </w:rPr>
  </w:style>
  <w:style w:type="paragraph" w:customStyle="1" w:styleId="2">
    <w:name w:val="Мой список2"/>
    <w:qFormat/>
    <w:rsid w:val="00F549F4"/>
    <w:pPr>
      <w:widowControl w:val="0"/>
      <w:numPr>
        <w:numId w:val="6"/>
      </w:numPr>
      <w:shd w:val="clear" w:color="auto" w:fill="FFFFFF"/>
      <w:tabs>
        <w:tab w:val="left" w:pos="709"/>
      </w:tabs>
      <w:autoSpaceDE w:val="0"/>
      <w:autoSpaceDN w:val="0"/>
      <w:adjustRightInd w:val="0"/>
      <w:spacing w:before="60" w:after="0" w:line="240" w:lineRule="auto"/>
      <w:ind w:left="709" w:hanging="357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styleId="20">
    <w:name w:val="List Bullet 2"/>
    <w:basedOn w:val="a"/>
    <w:next w:val="a"/>
    <w:autoRedefine/>
    <w:qFormat/>
    <w:rsid w:val="00F549F4"/>
    <w:pPr>
      <w:widowControl w:val="0"/>
      <w:numPr>
        <w:numId w:val="9"/>
      </w:numPr>
      <w:spacing w:after="0" w:line="240" w:lineRule="auto"/>
      <w:ind w:left="0" w:firstLine="426"/>
      <w:jc w:val="both"/>
    </w:pPr>
    <w:rPr>
      <w:rFonts w:ascii="Arial" w:eastAsia="Times New Roman" w:hAnsi="Arial" w:cs="Arial"/>
      <w:kern w:val="0"/>
      <w:sz w:val="20"/>
      <w:szCs w:val="20"/>
      <w:lang w:val="en-US"/>
      <w14:ligatures w14:val="none"/>
    </w:rPr>
  </w:style>
  <w:style w:type="paragraph" w:styleId="af1">
    <w:name w:val="footer"/>
    <w:aliases w:val="Title Down,Footer_ARGOSS"/>
    <w:basedOn w:val="a"/>
    <w:link w:val="af2"/>
    <w:uiPriority w:val="99"/>
    <w:rsid w:val="00AE1E8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af2">
    <w:name w:val="Нижний колонтитул Знак"/>
    <w:aliases w:val="Title Down Знак,Footer_ARGOSS Знак"/>
    <w:basedOn w:val="a0"/>
    <w:link w:val="af1"/>
    <w:uiPriority w:val="99"/>
    <w:rsid w:val="00AE1E85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af3">
    <w:name w:val="page number"/>
    <w:basedOn w:val="a0"/>
    <w:rsid w:val="00AE1E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3379</Words>
  <Characters>19265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Saltanat Sarkulova</dc:creator>
  <cp:keywords/>
  <dc:description/>
  <cp:lastModifiedBy>Айдана Утегенова</cp:lastModifiedBy>
  <cp:revision>13</cp:revision>
  <dcterms:created xsi:type="dcterms:W3CDTF">2024-05-22T19:19:00Z</dcterms:created>
  <dcterms:modified xsi:type="dcterms:W3CDTF">2026-10-22T16:35:00Z</dcterms:modified>
</cp:coreProperties>
</file>